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Federal Trade Commission solves</w:t>
      </w:r>
    </w:p>
    <w:p>
      <w:pPr>
        <w:spacing w:after="80"/>
      </w:pPr>
      <w:r>
        <w:rPr>
          <w:b w:val="0"/>
          <w:i w:val="0"/>
          <w:smallCaps w:val="0"/>
          <w:strike w:val="0"/>
          <w:u w:val="none"/>
        </w:rPr>
        <w:t xml:space="preserve">Michael S. </w:t>
      </w:r>
      <w:r>
        <w:rPr>
          <w:b/>
          <w:i w:val="0"/>
          <w:smallCaps w:val="0"/>
          <w:strike w:val="0"/>
          <w:sz w:val="26"/>
          <w:u w:val="none"/>
        </w:rPr>
        <w:t>Mireles</w:t>
      </w:r>
      <w:r>
        <w:rPr>
          <w:b w:val="0"/>
          <w:i w:val="0"/>
          <w:smallCaps w:val="0"/>
          <w:strike w:val="0"/>
          <w:u w:val="none"/>
        </w:rPr>
        <w:t xml:space="preserve"> (</w:t>
      </w:r>
      <w:r>
        <w:rPr>
          <w:b w:val="0"/>
          <w:i w:val="0"/>
          <w:smallCaps w:val="0"/>
          <w:strike w:val="0"/>
          <w:u w:val="none"/>
        </w:rPr>
        <w:t>Professor of Law, University of the Pacific, McGeorge School of Law</w:t>
      </w:r>
      <w:r>
        <w:rPr>
          <w:b w:val="0"/>
          <w:i w:val="0"/>
          <w:smallCaps w:val="0"/>
          <w:strike w:val="0"/>
          <w:u w:val="none"/>
        </w:rPr>
        <w:t xml:space="preserve">) “Trademark Trolls: A Problem in the United States?” May 22, </w:t>
      </w:r>
      <w:r>
        <w:rPr>
          <w:b/>
          <w:i w:val="0"/>
          <w:smallCaps w:val="0"/>
          <w:strike w:val="0"/>
          <w:sz w:val="26"/>
          <w:u w:val="none"/>
        </w:rPr>
        <w:t>2015</w:t>
      </w:r>
      <w:r>
        <w:rPr>
          <w:b w:val="0"/>
          <w:i w:val="0"/>
          <w:smallCaps w:val="0"/>
          <w:strike w:val="0"/>
          <w:u w:val="none"/>
        </w:rPr>
        <w:t xml:space="preserve"> </w:t>
      </w:r>
      <w:r>
        <w:rPr>
          <w:b w:val="0"/>
          <w:i w:val="0"/>
          <w:smallCaps w:val="0"/>
          <w:strike w:val="0"/>
          <w:u w:val="none"/>
        </w:rPr>
        <w:t>https://www.chapman.edu/law/_files/publications/clr-18-mireles.pdf</w:t>
      </w:r>
    </w:p>
    <w:p>
      <w:pPr>
        <w:spacing w:after="60"/>
      </w:pPr>
      <w:r>
        <w:rPr>
          <w:b w:val="0"/>
          <w:i w:val="0"/>
          <w:smallCaps w:val="0"/>
          <w:strike w:val="0"/>
          <w:u w:val="none"/>
        </w:rPr>
        <w:t xml:space="preserve">b. Cancellation Practice </w:t>
      </w:r>
      <w:r>
        <w:rPr>
          <w:b w:val="0"/>
          <w:i w:val="0"/>
          <w:smallCaps w:val="0"/>
          <w:strike w:val="0"/>
          <w:sz w:val="22"/>
          <w:highlight w:val="yellow"/>
          <w:u w:val="single"/>
        </w:rPr>
        <w:t>Trademark law provides the opportunity for trademark owners to challenge registered marks on a number of grounds through a cancellation proceeding</w:t>
      </w:r>
      <w:r>
        <w:rPr>
          <w:b w:val="0"/>
          <w:i w:val="0"/>
          <w:smallCaps w:val="0"/>
          <w:strike w:val="0"/>
          <w:u w:val="none"/>
        </w:rPr>
        <w:t xml:space="preserve">.197 Similar to the rules concerning oppositions, a party bringing a cancellation action benefits from broad standing requirements198 and robust grounds 2015] 853 for challenging a registration.199 One important difference between cancellations and oppositions is that a mark registered for five years is only subject to cancellation on a limited number of grounds.200 However, the Lanham Act does allow challenges “[a]t any time” based on “the registered mark . . . being used by, or with the permission of, the registrant so as to misrepresent the source of the goods or services on or in connection with which the mark is used.”201 This provision allows trademark owners another opportunity to prevent other parties from infringing their marks. </w:t>
      </w:r>
      <w:r>
        <w:rPr>
          <w:b w:val="0"/>
          <w:i w:val="0"/>
          <w:smallCaps w:val="0"/>
          <w:strike w:val="0"/>
          <w:sz w:val="22"/>
          <w:highlight w:val="yellow"/>
          <w:u w:val="single"/>
        </w:rPr>
        <w:t>Section 1064</w:t>
      </w:r>
      <w:r>
        <w:rPr>
          <w:b w:val="0"/>
          <w:i w:val="0"/>
          <w:smallCaps w:val="0"/>
          <w:strike w:val="0"/>
          <w:u w:val="none"/>
        </w:rPr>
        <w:t xml:space="preserve"> of Title 15 also </w:t>
      </w:r>
      <w:r>
        <w:rPr>
          <w:b w:val="0"/>
          <w:i w:val="0"/>
          <w:smallCaps w:val="0"/>
          <w:strike w:val="0"/>
          <w:sz w:val="22"/>
          <w:highlight w:val="yellow"/>
          <w:u w:val="single"/>
        </w:rPr>
        <w:t>empowers the Federal Trade Commission</w:t>
      </w:r>
      <w:r>
        <w:rPr>
          <w:b w:val="0"/>
          <w:i w:val="0"/>
          <w:smallCaps w:val="0"/>
          <w:strike w:val="0"/>
          <w:u w:val="none"/>
        </w:rPr>
        <w:t xml:space="preserve"> (FTC) </w:t>
      </w:r>
      <w:r>
        <w:rPr>
          <w:b w:val="0"/>
          <w:i w:val="0"/>
          <w:smallCaps w:val="0"/>
          <w:strike w:val="0"/>
          <w:sz w:val="22"/>
          <w:highlight w:val="yellow"/>
          <w:u w:val="single"/>
        </w:rPr>
        <w:t>to bring cancellation actions against registered marks on specific grounds</w:t>
      </w:r>
      <w:r>
        <w:rPr>
          <w:b w:val="0"/>
          <w:i w:val="0"/>
          <w:smallCaps w:val="0"/>
          <w:strike w:val="0"/>
          <w:u w:val="none"/>
        </w:rPr>
        <w:t xml:space="preserve">, such as functionality and misrepresentation of the source of goods or services.202 </w:t>
      </w:r>
      <w:r>
        <w:rPr>
          <w:b w:val="0"/>
          <w:i w:val="0"/>
          <w:smallCaps w:val="0"/>
          <w:strike w:val="0"/>
          <w:sz w:val="22"/>
          <w:highlight w:val="yellow"/>
          <w:u w:val="single"/>
        </w:rPr>
        <w:t>If a trademark troll problem were to develop, the FTC could bring an action to cancel a mark that was used improperly</w:t>
      </w:r>
      <w:r>
        <w:rPr>
          <w:b w:val="0"/>
          <w:i w:val="0"/>
          <w:smallCaps w:val="0"/>
          <w:strike w:val="0"/>
          <w:u w:val="none"/>
        </w:rPr>
        <w:t>.</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