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permutation fails—contradiction is part of capitalism’s internal logic. Only full rejection and transcendence of capitalism solves.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Lawson, 09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James, PhD, Department of Political Science, University of Victoria, “Aboriginal Dispossession in the Emergence of a Capitalist Resource Extractve Region: The Ottawa valley, 1800-1830s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Both </w:t>
      </w:r>
      <w:r>
        <w:rPr>
          <w:b/>
          <w:i w:val="0"/>
          <w:smallCaps w:val="0"/>
          <w:strike w:val="0"/>
          <w:u w:val="single"/>
        </w:rPr>
        <w:t>the establishment and the ongoing maintenance of capitalism, whether as a mode of production or as a wider social formation, are crisis-ridden. They depend on moments and places in which limits to accumulation are encountered and then transformed into thresholds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informs the leading trope in David Harvey’s now-classic interpretation of  Marx’s principal works on capital, Limits to Capital (1982). In it, </w:t>
      </w:r>
      <w:r>
        <w:rPr>
          <w:b/>
          <w:i w:val="0"/>
          <w:smallCaps w:val="0"/>
          <w:strike w:val="0"/>
          <w:u w:val="single"/>
        </w:rPr>
        <w:t xml:space="preserve">the contradictions  encountered at every moment of the unfolding of capital’s inner logic constitute ‘limits to  capital’. </w:t>
      </w:r>
      <w:r>
        <w:rPr>
          <w:b w:val="0"/>
          <w:i w:val="0"/>
          <w:smallCaps w:val="0"/>
          <w:strike w:val="0"/>
          <w:sz w:val="16"/>
          <w:u w:val="none"/>
        </w:rPr>
        <w:t>At each stage in Harvey’s exposition</w:t>
      </w:r>
      <w:r>
        <w:rPr>
          <w:b/>
          <w:i w:val="0"/>
          <w:smallCaps w:val="0"/>
          <w:strike w:val="0"/>
          <w:u w:val="single"/>
        </w:rPr>
        <w:t>, these limits are partly and temporarily overcome, notably through mechanisms of temporal deferral and spatial displacement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each stage, </w:t>
      </w:r>
      <w:r>
        <w:rPr>
          <w:b/>
          <w:i w:val="0"/>
          <w:smallCaps w:val="0"/>
          <w:strike w:val="0"/>
          <w:u w:val="single"/>
        </w:rPr>
        <w:t>the circuit of capital is temporarily restored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But at each subsequent stage,  Harvey also finds that </w:t>
      </w:r>
      <w:r>
        <w:rPr>
          <w:b/>
          <w:i w:val="0"/>
          <w:smallCaps w:val="0"/>
          <w:strike w:val="0"/>
          <w:u w:val="single"/>
        </w:rPr>
        <w:t>capital’s contradictions are ultimately intensified and multiplied  rather than resolved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Harvey therefore re-affirms Marx’s classical overall conclusion that </w:t>
      </w:r>
      <w:r>
        <w:rPr>
          <w:b/>
          <w:i w:val="0"/>
          <w:smallCaps w:val="0"/>
          <w:strike w:val="0"/>
          <w:u w:val="single"/>
        </w:rPr>
        <w:t>capitalism’s contradictions cannot be resolved: capitalism itself must be transcended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Capitalism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