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transition wars – from the internal problems of the current conditions the government can’t commit resources to prevent the masses</w:t>
      </w:r>
    </w:p>
    <w:p>
      <w:pPr>
        <w:spacing w:after="80"/>
      </w:pPr>
      <w:r>
        <w:rPr>
          <w:b/>
          <w:i w:val="0"/>
          <w:smallCaps w:val="0"/>
          <w:strike w:val="0"/>
          <w:sz w:val="26"/>
          <w:u w:val="none"/>
        </w:rPr>
        <w:t>Bennett and Nordstrom 2k –</w:t>
      </w:r>
      <w:r>
        <w:rPr>
          <w:b w:val="0"/>
          <w:i w:val="0"/>
          <w:smallCaps w:val="0"/>
          <w:strike w:val="0"/>
          <w:sz w:val="16"/>
          <w:u w:val="none"/>
        </w:rPr>
        <w:t xml:space="preserve"> </w:t>
      </w:r>
      <w:r>
        <w:rPr>
          <w:b w:val="0"/>
          <w:i w:val="0"/>
          <w:smallCaps w:val="0"/>
          <w:strike w:val="0"/>
          <w:u w:val="none"/>
        </w:rPr>
        <w:t>Department of Political Science, Pennsylvania State University (D. Scott, Timothy, “Foreign Policy Substitutability and Internal Economic Problems in Enduring Rivalries,” The Journal of Conflict Resolution, Vol. 44, No. 1, Feb., pp. 33-61, JSTOR)</w:t>
      </w:r>
    </w:p>
    <w:p>
      <w:pPr>
        <w:spacing w:after="60"/>
      </w:pPr>
      <w:r>
        <w:rPr>
          <w:b w:val="0"/>
          <w:i w:val="0"/>
          <w:smallCaps w:val="0"/>
          <w:strike w:val="0"/>
          <w:sz w:val="16"/>
          <w:u w:val="none"/>
        </w:rPr>
        <w:t xml:space="preserve">This leads to our first hypothesis, which is as follows: Hypothesis 1: </w:t>
      </w:r>
      <w:r>
        <w:rPr>
          <w:b/>
          <w:i w:val="0"/>
          <w:smallCaps w:val="0"/>
          <w:strike w:val="0"/>
          <w:u w:val="single"/>
        </w:rPr>
        <w:t>Poor economic conditions lead to diversionary actions against the rival.</w:t>
      </w:r>
      <w:r>
        <w:rPr>
          <w:b w:val="0"/>
          <w:i w:val="0"/>
          <w:smallCaps w:val="0"/>
          <w:strike w:val="0"/>
          <w:sz w:val="16"/>
          <w:u w:val="none"/>
        </w:rPr>
        <w:t xml:space="preserve"> Conflict settlement is also a distinct route to dealing with internal problems that leaders in rivalries may pursue when faced with internal problems. Military competition between states requires large amounts of resources, and rivals require even more attention. Leaders may choose to negotiate a settlement that ends a rivalry to free up important resources that may be reallocated to the domestic economy. In a "guns versus butter" world of economic trade-offs, </w:t>
      </w:r>
      <w:r>
        <w:rPr>
          <w:b/>
          <w:i w:val="0"/>
          <w:smallCaps w:val="0"/>
          <w:strike w:val="0"/>
          <w:u w:val="single"/>
        </w:rPr>
        <w:t>when a state can no longer afford to pay the expenses associated with competition in a rivalry, it is quite rational for leaders to reduce costs by ending a rivalry</w:t>
      </w:r>
      <w:r>
        <w:rPr>
          <w:b w:val="0"/>
          <w:i w:val="0"/>
          <w:smallCaps w:val="0"/>
          <w:strike w:val="0"/>
          <w:sz w:val="16"/>
          <w:u w:val="none"/>
        </w:rPr>
        <w:t xml:space="preserve">. This gain (a peace dividend) could be achieved at any time by ending a rivalry. However, such a gain is likely to be most important and attractive to leaders </w:t>
      </w:r>
      <w:r>
        <w:rPr>
          <w:b/>
          <w:i w:val="0"/>
          <w:smallCaps w:val="0"/>
          <w:strike w:val="0"/>
          <w:u w:val="single"/>
        </w:rPr>
        <w:t>when internal conditions are bad</w:t>
      </w:r>
      <w:r>
        <w:rPr>
          <w:b w:val="0"/>
          <w:i w:val="0"/>
          <w:smallCaps w:val="0"/>
          <w:strike w:val="0"/>
          <w:sz w:val="16"/>
          <w:u w:val="none"/>
        </w:rPr>
        <w:t xml:space="preserve"> and the leader is seeking ways to alleviate active problems. </w:t>
      </w:r>
      <w:r>
        <w:rPr>
          <w:b/>
          <w:i w:val="0"/>
          <w:smallCaps w:val="0"/>
          <w:strike w:val="0"/>
          <w:u w:val="single"/>
        </w:rPr>
        <w:t>Support for policy change away from continued rivalry is more likely to develop when the economic situation sours and elites and masses are looking for ways to improve a worsening situation. It is at these times that the pressure to cut military investment will be greatest and that state leaders will be forced to recognize the difficulty of continuing to pay for a rivalry</w:t>
      </w:r>
      <w:r>
        <w:rPr>
          <w:b w:val="0"/>
          <w:i w:val="0"/>
          <w:smallCaps w:val="0"/>
          <w:strike w:val="0"/>
          <w:sz w:val="16"/>
          <w:u w:val="none"/>
        </w:rPr>
        <w:t>. Among other things, this argument also encompasses the view that the cold war ended because the Union of Soviet Socialist Republics could no longer compete economically with the United States.</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