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Incrementalistic approaches </w:t>
      </w:r>
      <w:r>
        <w:rPr>
          <w:b/>
          <w:i w:val="0"/>
          <w:smallCaps w:val="0"/>
          <w:strike w:val="0"/>
          <w:sz w:val="26"/>
          <w:u w:val="single"/>
        </w:rPr>
        <w:t>fail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recreate violence</w:t>
      </w:r>
      <w:r>
        <w:rPr>
          <w:b/>
          <w:i w:val="0"/>
          <w:smallCaps w:val="0"/>
          <w:strike w:val="0"/>
          <w:sz w:val="26"/>
          <w:u w:val="none"/>
        </w:rPr>
        <w:t xml:space="preserve"> against abjected others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Vats 20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– </w:t>
      </w:r>
      <w:r>
        <w:rPr>
          <w:b w:val="0"/>
          <w:i w:val="0"/>
          <w:smallCaps w:val="0"/>
          <w:strike w:val="0"/>
          <w:u w:val="none"/>
        </w:rPr>
        <w:t>Assistant Professor of Communication and African and African Diaspora Studies and Assistant Professor of Law at Boston College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Anjali Vats, “The Color of Creatorship”, Stanford University Press, Pages 191-192, 2020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The frames of creatorship, citizenship, and nation have been organizing ones for my discussion of race and intellectual property. </w:t>
      </w:r>
      <w:r>
        <w:rPr>
          <w:b w:val="0"/>
          <w:i w:val="0"/>
          <w:smallCaps w:val="0"/>
          <w:strike w:val="0"/>
          <w:u w:val="single"/>
        </w:rPr>
        <w:t xml:space="preserve">Copyright, patent, and trademark discourses have been </w:t>
      </w:r>
      <w:r>
        <w:rPr>
          <w:b/>
          <w:i w:val="0"/>
          <w:smallCaps w:val="0"/>
          <w:strike w:val="0"/>
          <w:u w:val="single"/>
        </w:rPr>
        <w:t>intertwined with them</w:t>
      </w:r>
      <w:r>
        <w:rPr>
          <w:b w:val="0"/>
          <w:i w:val="0"/>
          <w:smallCaps w:val="0"/>
          <w:strike w:val="0"/>
          <w:u w:val="single"/>
        </w:rPr>
        <w:t xml:space="preserve"> for centuries, often through the </w:t>
      </w:r>
      <w:r>
        <w:rPr>
          <w:b/>
          <w:i w:val="0"/>
          <w:smallCaps w:val="0"/>
          <w:strike w:val="0"/>
          <w:u w:val="single"/>
        </w:rPr>
        <w:t>reiteration of familiar racial scripts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Chapter 4 explored the notion of rewriting the existing racial scripts of intellectual property law and mobilizing new racial feelings as a potentially productive means of unmaking invisible white norms around creatorship and personhood. Each of the three examples discussed—Prince’s seizure of creatorship as a space for Black creativity and personhood, India’s pushback against Western commodification of cultural property, and Marshawn Lynch’s deployment of Black bestiality as a means of contesting ownership of Black bodies—demonstrates the practical impacts of performative resistance to intellectual property law’s conceptions of race and economic structures.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Despite the possibilities that such moments of contestation offer, however, they are also </w:t>
      </w:r>
      <w:r>
        <w:rPr>
          <w:b/>
          <w:i w:val="0"/>
          <w:smallCaps w:val="0"/>
          <w:strike w:val="0"/>
          <w:u w:val="single"/>
        </w:rPr>
        <w:t>fundamentally limited</w:t>
      </w:r>
      <w:r>
        <w:rPr>
          <w:b w:val="0"/>
          <w:i w:val="0"/>
          <w:smallCaps w:val="0"/>
          <w:strike w:val="0"/>
          <w:u w:val="single"/>
        </w:rPr>
        <w:t xml:space="preserve"> by </w:t>
      </w:r>
      <w:r>
        <w:rPr>
          <w:b/>
          <w:i w:val="0"/>
          <w:smallCaps w:val="0"/>
          <w:strike w:val="0"/>
          <w:u w:val="single"/>
        </w:rPr>
        <w:t>cultural and material systems that perpetuate inequality</w:t>
      </w:r>
      <w:r>
        <w:rPr>
          <w:b w:val="0"/>
          <w:i w:val="0"/>
          <w:smallCaps w:val="0"/>
          <w:strike w:val="0"/>
          <w:u w:val="single"/>
        </w:rPr>
        <w:t xml:space="preserve">. In particular, imagining that the whiteness of capitalism, liberalism, and citizenship can be undone through equal rights </w:t>
      </w:r>
      <w:r>
        <w:rPr>
          <w:b/>
          <w:i w:val="0"/>
          <w:smallCaps w:val="0"/>
          <w:strike w:val="0"/>
          <w:u w:val="single"/>
        </w:rPr>
        <w:t>ignores the fundamental ideological investments</w:t>
      </w:r>
      <w:r>
        <w:rPr>
          <w:b w:val="0"/>
          <w:i w:val="0"/>
          <w:smallCaps w:val="0"/>
          <w:strike w:val="0"/>
          <w:u w:val="single"/>
        </w:rPr>
        <w:t xml:space="preserve"> of those systems and the failures of the civil rights movement. Even while recognizing the “epistemic violence”1 involved in calling out inclusionary politics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2"/>
          <w:u w:val="none"/>
        </w:rPr>
        <w:t>Amy Brandzel notes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incrementalist approaches are </w:t>
      </w:r>
      <w:r>
        <w:rPr>
          <w:b/>
          <w:i w:val="0"/>
          <w:smallCaps w:val="0"/>
          <w:strike w:val="0"/>
          <w:u w:val="single"/>
        </w:rPr>
        <w:t>fundamentally limited</w:t>
      </w:r>
      <w:r>
        <w:rPr>
          <w:b w:val="0"/>
          <w:i w:val="0"/>
          <w:smallCaps w:val="0"/>
          <w:strike w:val="0"/>
          <w:u w:val="single"/>
        </w:rPr>
        <w:t xml:space="preserve"> because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these aspirations for inclusion re-create violence against vulnerable peoples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As a process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normative inclusion </w:t>
      </w:r>
      <w:r>
        <w:rPr>
          <w:b/>
          <w:i w:val="0"/>
          <w:smallCaps w:val="0"/>
          <w:strike w:val="0"/>
          <w:u w:val="single"/>
        </w:rPr>
        <w:t>entrenches notions of proper versus improper</w:t>
      </w:r>
      <w:r>
        <w:rPr>
          <w:b w:val="0"/>
          <w:i w:val="0"/>
          <w:smallCaps w:val="0"/>
          <w:strike w:val="0"/>
          <w:u w:val="single"/>
        </w:rPr>
        <w:t xml:space="preserve">, natural versus abnormal and normative versus abject. There is </w:t>
      </w:r>
      <w:r>
        <w:rPr>
          <w:b/>
          <w:i w:val="0"/>
          <w:smallCaps w:val="0"/>
          <w:strike w:val="0"/>
          <w:u w:val="single"/>
        </w:rPr>
        <w:t>no such thing as a movement for inclusion and citizenship</w:t>
      </w:r>
      <w:r>
        <w:rPr>
          <w:b w:val="0"/>
          <w:i w:val="0"/>
          <w:smallCaps w:val="0"/>
          <w:strike w:val="0"/>
          <w:u w:val="single"/>
        </w:rPr>
        <w:t xml:space="preserve"> for some that does not further the vulnerability and disenfranchisement of others . . . longing for inclusion and citizenship reinforce violence against abjected others.2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Brandzel, who like Saidiya Hartman, Jasbir Puar, Roderick Ferguson, and David Eng, condemns citizenship, acknowledges the need for a “politics of presence,”3 which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engages in radical critique while nonetheless </w:t>
      </w:r>
      <w:r>
        <w:rPr>
          <w:b/>
          <w:i w:val="0"/>
          <w:smallCaps w:val="0"/>
          <w:strike w:val="0"/>
          <w:u w:val="single"/>
        </w:rPr>
        <w:t>acknowledging the trauma of normative exclusion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In other words, she is cognizant of the imperative to both respectfully examine how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inclusionary politics are integral to “navigating the visceral registers of pain, violence, and social death within the limiting structures of citizenship”4 and </w:t>
      </w:r>
      <w:r>
        <w:rPr>
          <w:b/>
          <w:i w:val="0"/>
          <w:smallCaps w:val="0"/>
          <w:strike w:val="0"/>
          <w:u w:val="single"/>
        </w:rPr>
        <w:t>fundamentally limited as singular avenues</w:t>
      </w:r>
      <w:r>
        <w:rPr>
          <w:b w:val="0"/>
          <w:i w:val="0"/>
          <w:smallCaps w:val="0"/>
          <w:strike w:val="0"/>
          <w:u w:val="single"/>
        </w:rPr>
        <w:t xml:space="preserve"> for pursuing emancipatory politics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In the practical space of law, racial and economic equity must come together with concrete agendas for policy reform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