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Tushnet is </w:t>
      </w:r>
      <w:r>
        <w:rPr>
          <w:b/>
          <w:i w:val="0"/>
          <w:smallCaps w:val="0"/>
          <w:strike w:val="0"/>
          <w:sz w:val="26"/>
          <w:u w:val="single"/>
        </w:rPr>
        <w:t>wrong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 xml:space="preserve">– </w:t>
      </w:r>
      <w:r>
        <w:rPr>
          <w:b/>
          <w:i w:val="0"/>
          <w:smallCaps w:val="0"/>
          <w:strike w:val="0"/>
          <w:sz w:val="26"/>
          <w:u w:val="single"/>
        </w:rPr>
        <w:t>empirical evidence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historical analysis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Vats 22 </w:t>
      </w:r>
      <w:r>
        <w:rPr>
          <w:b w:val="0"/>
          <w:i w:val="0"/>
          <w:smallCaps w:val="0"/>
          <w:strike w:val="0"/>
          <w:sz w:val="22"/>
          <w:u w:val="none"/>
        </w:rPr>
        <w:t>–</w:t>
      </w:r>
      <w:r>
        <w:rPr>
          <w:b w:val="0"/>
          <w:i w:val="0"/>
          <w:smallCaps w:val="0"/>
          <w:strike w:val="0"/>
          <w:u w:val="none"/>
        </w:rPr>
        <w:t xml:space="preserve"> Assistant Professor of Communication and African and African Diaspora Studies and Assistant Professor of Law at Boston College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Anjali Vats, “</w:t>
      </w:r>
      <w:r>
        <w:rPr>
          <w:b w:val="0"/>
          <w:i w:val="0"/>
          <w:smallCaps w:val="0"/>
          <w:strike w:val="0"/>
          <w:u w:val="none"/>
        </w:rPr>
        <w:t>COLOR OF CREATORSHIP – Author’s Response”, The IP Law Book Review 16 (2022), June 2022, https://scholarship.law.pitt.edu/cgi/viewcontent.cgi?article=1528&amp;context=fac_articles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While (racial) capitalism can </w:t>
      </w:r>
      <w:r>
        <w:rPr>
          <w:b/>
          <w:i w:val="0"/>
          <w:smallCaps w:val="0"/>
          <w:strike w:val="0"/>
          <w:u w:val="single"/>
        </w:rPr>
        <w:t>improve the situations of some</w:t>
      </w:r>
      <w:r>
        <w:rPr>
          <w:b w:val="0"/>
          <w:i w:val="0"/>
          <w:smallCaps w:val="0"/>
          <w:strike w:val="0"/>
          <w:u w:val="single"/>
        </w:rPr>
        <w:t xml:space="preserve">, operate as harm mitigation so to speak, </w:t>
      </w:r>
      <w:r>
        <w:rPr>
          <w:b/>
          <w:i w:val="0"/>
          <w:smallCaps w:val="0"/>
          <w:strike w:val="0"/>
          <w:u w:val="single"/>
        </w:rPr>
        <w:t>it alone cannot, at least in its increasingly unregulated forms, produce equity</w:t>
      </w:r>
      <w:r>
        <w:rPr>
          <w:b w:val="0"/>
          <w:i w:val="0"/>
          <w:smallCaps w:val="0"/>
          <w:strike w:val="0"/>
          <w:u w:val="single"/>
        </w:rPr>
        <w:t xml:space="preserve"> of any type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In fact, the neoliberalism that Lauren Berlant argues anchors trademarks to nation is an integral part of the superstructure that produces inequity. In this way, Professor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Tushnet’s observation that likelihood of consumer confusion is not connected to racialized outcomes is and is not true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On the one hand, she is correct that this is a place in which the argument of the book is underdeveloped, i.e. I do not delve into the cases through which race is mediated via “confusion.” On the other hand, I maintain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optics of racialization that I am attempting to pin down are </w:t>
      </w:r>
      <w:r>
        <w:rPr>
          <w:b/>
          <w:i w:val="0"/>
          <w:smallCaps w:val="0"/>
          <w:strike w:val="0"/>
          <w:u w:val="single"/>
        </w:rPr>
        <w:t>built into the larger dynamics of trademarks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Professor Greene writes about how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doctrine of consumer confusion, beginning in the early 1900s, </w:t>
      </w:r>
      <w:r>
        <w:rPr>
          <w:b/>
          <w:i w:val="0"/>
          <w:smallCaps w:val="0"/>
          <w:strike w:val="0"/>
          <w:u w:val="single"/>
        </w:rPr>
        <w:t xml:space="preserve">became a tool of (White) robber baron capitalism, </w:t>
      </w:r>
      <w:r>
        <w:rPr>
          <w:b w:val="0"/>
          <w:i w:val="0"/>
          <w:smallCaps w:val="0"/>
          <w:strike w:val="0"/>
          <w:u w:val="single"/>
        </w:rPr>
        <w:t>shutting out competition in a cutthroat manner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>Rosemary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Coombe shows this as well, by centering trademarks as important </w:t>
      </w:r>
      <w:r>
        <w:rPr>
          <w:b/>
          <w:i w:val="0"/>
          <w:smallCaps w:val="0"/>
          <w:strike w:val="0"/>
          <w:u w:val="single"/>
        </w:rPr>
        <w:t>mediators for alterity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In foundational scholarship on trademarks and coloniality, she shows how </w:t>
      </w:r>
      <w:r>
        <w:rPr>
          <w:b w:val="0"/>
          <w:i w:val="0"/>
          <w:smallCaps w:val="0"/>
          <w:strike w:val="0"/>
          <w:u w:val="single"/>
        </w:rPr>
        <w:t xml:space="preserve">brand loyalty was a means of encouraging White consumers to invest in the </w:t>
      </w:r>
      <w:r>
        <w:rPr>
          <w:b/>
          <w:i w:val="0"/>
          <w:smallCaps w:val="0"/>
          <w:strike w:val="0"/>
          <w:u w:val="single"/>
        </w:rPr>
        <w:t>nostalgic racial hierarchies</w:t>
      </w:r>
      <w:r>
        <w:rPr>
          <w:b w:val="0"/>
          <w:i w:val="0"/>
          <w:smallCaps w:val="0"/>
          <w:strike w:val="0"/>
          <w:u w:val="single"/>
        </w:rPr>
        <w:t xml:space="preserve"> that anchored the post-Emancipation world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I demonstrate how unfair competition cases that evolved into copyright and trademark doctrine, especially those involving Aunt Jemima, normalized White ownership of Black people and their likenesses. </w:t>
      </w:r>
      <w:r>
        <w:rPr>
          <w:b w:val="0"/>
          <w:i w:val="0"/>
          <w:smallCaps w:val="0"/>
          <w:strike w:val="0"/>
          <w:u w:val="single"/>
        </w:rPr>
        <w:t xml:space="preserve">Derogatory images perpetuated through (White) judicial interventions relating to consumer confusion were the </w:t>
      </w:r>
      <w:r>
        <w:rPr>
          <w:b/>
          <w:i w:val="0"/>
          <w:smallCaps w:val="0"/>
          <w:strike w:val="0"/>
          <w:u w:val="single"/>
        </w:rPr>
        <w:t>currency of trademark law</w:t>
      </w:r>
      <w:r>
        <w:rPr>
          <w:b w:val="0"/>
          <w:i w:val="0"/>
          <w:smallCaps w:val="0"/>
          <w:strike w:val="0"/>
          <w:u w:val="single"/>
        </w:rPr>
        <w:t>. The likelihood of consumer confusion was conceived and produced in a world of (</w:t>
      </w:r>
      <w:r>
        <w:rPr>
          <w:b/>
          <w:i w:val="0"/>
          <w:smallCaps w:val="0"/>
          <w:strike w:val="0"/>
          <w:u w:val="single"/>
        </w:rPr>
        <w:t>racial) capitalist looking, sustained through the (White) judicial entrenchment</w:t>
      </w:r>
      <w:r>
        <w:rPr>
          <w:b w:val="0"/>
          <w:i w:val="0"/>
          <w:smallCaps w:val="0"/>
          <w:strike w:val="0"/>
          <w:u w:val="single"/>
        </w:rPr>
        <w:t xml:space="preserve"> of everyday violence. Thus though trademark owners may not be “authorial” or “inventorial” in a literal sense, they play a role in upholding a regime of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what Michel Foucault would speak about as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power/knowledge in which people of color are systematically diminished by trademarks as well as copyrights and patents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Similarly, as Richard Schur contends, </w:t>
      </w:r>
      <w:r>
        <w:rPr>
          <w:b w:val="0"/>
          <w:i w:val="0"/>
          <w:smallCaps w:val="0"/>
          <w:strike w:val="0"/>
          <w:u w:val="single"/>
        </w:rPr>
        <w:t xml:space="preserve">the doctrine of dilution functions as a </w:t>
      </w:r>
      <w:r>
        <w:rPr>
          <w:b/>
          <w:i w:val="0"/>
          <w:smallCaps w:val="0"/>
          <w:strike w:val="0"/>
          <w:u w:val="single"/>
        </w:rPr>
        <w:t>mediator of purity</w:t>
      </w:r>
      <w:r>
        <w:rPr>
          <w:b w:val="0"/>
          <w:i w:val="0"/>
          <w:smallCaps w:val="0"/>
          <w:strike w:val="0"/>
          <w:u w:val="single"/>
        </w:rPr>
        <w:t>, one that frequently interfaces with fears of miscegenation.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In this respect, dilution cases need not take on race in order to contribute to racial harm.</w:t>
      </w:r>
      <w:r>
        <w:rPr>
          <w:b w:val="0"/>
          <w:i w:val="0"/>
          <w:smallCaps w:val="0"/>
          <w:strike w:val="0"/>
          <w:sz w:val="1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mere </w:t>
      </w:r>
      <w:r>
        <w:rPr>
          <w:b/>
          <w:i w:val="0"/>
          <w:smallCaps w:val="0"/>
          <w:strike w:val="0"/>
          <w:u w:val="single"/>
        </w:rPr>
        <w:t>rhetorical invocation</w:t>
      </w:r>
      <w:r>
        <w:rPr>
          <w:b w:val="0"/>
          <w:i w:val="0"/>
          <w:smallCaps w:val="0"/>
          <w:strike w:val="0"/>
          <w:u w:val="single"/>
        </w:rPr>
        <w:t xml:space="preserve"> of dilution, whether caused or embraced as a result of White racial anxieties, reinforces a fear of mixing that is embedded within narratives of race itself.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 xml:space="preserve">Professor Tushnet and I seem to be in agreement that the moralization inherent in dilution law is problematic insofar as it adds a layer of potential cultural contempt over top economic concerns. In my mind, </w:t>
      </w:r>
      <w:r>
        <w:rPr>
          <w:b w:val="0"/>
          <w:i w:val="0"/>
          <w:smallCaps w:val="0"/>
          <w:strike w:val="0"/>
          <w:u w:val="single"/>
        </w:rPr>
        <w:t>the array of issues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2"/>
          <w:u w:val="none"/>
        </w:rPr>
        <w:t>Professor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Tushnet points to are important ones—but that fact mainly </w:t>
      </w:r>
      <w:r>
        <w:rPr>
          <w:b/>
          <w:i w:val="0"/>
          <w:smallCaps w:val="0"/>
          <w:strike w:val="0"/>
          <w:u w:val="single"/>
        </w:rPr>
        <w:t>highlights that issues of race deserve more consideration.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