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AMR is an </w:t>
      </w:r>
      <w:r>
        <w:rPr>
          <w:b/>
          <w:i w:val="0"/>
          <w:smallCaps w:val="0"/>
          <w:strike w:val="0"/>
          <w:sz w:val="26"/>
          <w:u w:val="single"/>
        </w:rPr>
        <w:t>existential threat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single"/>
        </w:rPr>
        <w:t>nonlinear</w:t>
      </w:r>
      <w:r>
        <w:rPr>
          <w:b/>
          <w:i w:val="0"/>
          <w:smallCaps w:val="0"/>
          <w:strike w:val="0"/>
          <w:sz w:val="26"/>
          <w:u w:val="none"/>
        </w:rPr>
        <w:t xml:space="preserve">, and has an </w:t>
      </w:r>
      <w:r>
        <w:rPr>
          <w:b/>
          <w:i w:val="0"/>
          <w:smallCaps w:val="0"/>
          <w:strike w:val="0"/>
          <w:sz w:val="26"/>
          <w:u w:val="single"/>
        </w:rPr>
        <w:t>invisible</w:t>
      </w:r>
      <w:r>
        <w:rPr>
          <w:b/>
          <w:i w:val="0"/>
          <w:smallCaps w:val="0"/>
          <w:strike w:val="0"/>
          <w:sz w:val="26"/>
          <w:u w:val="none"/>
        </w:rPr>
        <w:t xml:space="preserve"> tipping point—its </w:t>
      </w:r>
      <w:r>
        <w:rPr>
          <w:b/>
          <w:i w:val="0"/>
          <w:smallCaps w:val="0"/>
          <w:strike w:val="0"/>
          <w:sz w:val="26"/>
          <w:u w:val="single"/>
        </w:rPr>
        <w:t>systematically ignored</w:t>
      </w:r>
      <w:r>
        <w:rPr>
          <w:b/>
          <w:i w:val="0"/>
          <w:smallCaps w:val="0"/>
          <w:strike w:val="0"/>
          <w:sz w:val="26"/>
          <w:u w:val="none"/>
        </w:rPr>
        <w:t xml:space="preserve"> by pharma now.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Silverman ’16</w:t>
      </w:r>
      <w:r>
        <w:rPr>
          <w:b w:val="0"/>
          <w:i w:val="0"/>
          <w:smallCaps w:val="0"/>
          <w:strike w:val="0"/>
          <w:u w:val="none"/>
        </w:rPr>
        <w:t xml:space="preserve"> (Rachel Silverman – MPhil with Distinction in Public Health @ the University of Cambridge, Senior Policy Analyst and Assistant Director of Global Health Policy @ the Center for Global Development, focusing on global health financing and incentive structures, “Confronting Antimicrobial Resistance: Can We Get to Collective Action?” 19 April 2016, </w:t>
      </w:r>
      <w:r>
        <w:rPr>
          <w:b w:val="0"/>
          <w:i w:val="0"/>
          <w:smallCaps w:val="0"/>
          <w:strike w:val="0"/>
          <w:u w:val="none"/>
        </w:rPr>
        <w:t>)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Antimicrobial resistance is already causing huge harm – and the worst is yet to </w:t>
      </w:r>
      <w:r>
        <w:rPr>
          <w:b w:val="0"/>
          <w:i w:val="0"/>
          <w:smallCaps w:val="0"/>
          <w:strike w:val="0"/>
          <w:sz w:val="16"/>
          <w:u w:val="none"/>
        </w:rPr>
        <w:t>come.To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open the panel,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Dr. Chan issued a serious warning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about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size and scope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AMR threat</w:t>
      </w:r>
      <w:r>
        <w:rPr>
          <w:b w:val="0"/>
          <w:i w:val="0"/>
          <w:smallCaps w:val="0"/>
          <w:strike w:val="0"/>
          <w:u w:val="none"/>
        </w:rPr>
        <w:t>: “</w:t>
      </w:r>
      <w:r>
        <w:rPr>
          <w:b w:val="0"/>
          <w:i w:val="0"/>
          <w:smallCaps w:val="0"/>
          <w:strike w:val="0"/>
          <w:sz w:val="22"/>
          <w:u w:val="single"/>
        </w:rPr>
        <w:t>everyone will be affected if we do not address this problem</w:t>
      </w:r>
      <w:r>
        <w:rPr>
          <w:b w:val="0"/>
          <w:i w:val="0"/>
          <w:smallCaps w:val="0"/>
          <w:strike w:val="0"/>
          <w:u w:val="none"/>
        </w:rPr>
        <w:t xml:space="preserve">.” </w:t>
      </w:r>
      <w:r>
        <w:rPr>
          <w:b w:val="0"/>
          <w:i w:val="0"/>
          <w:smallCaps w:val="0"/>
          <w:strike w:val="0"/>
          <w:sz w:val="22"/>
          <w:u w:val="single"/>
        </w:rPr>
        <w:t>AMR is already responsible for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 estimated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700,000 global deaths each year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50,000 of which take place in the US and Europe. Extensively drug-resistant (XDR) tuberculosis—cases where the most effective first- and second-line drugs are rendered useless—infected an estimated 47,000 people worldwide in 2014, only one ‘last-line’ antimicrobial is available to reliably treat gonorrhea, 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few new antimicrobial drugs are in the development pipeline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According to the latest review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AMR could cause 10 million </w:t>
      </w:r>
      <w:r>
        <w:rPr>
          <w:b/>
          <w:i w:val="0"/>
          <w:smallCaps w:val="0"/>
          <w:strike w:val="0"/>
          <w:sz w:val="22"/>
          <w:u w:val="single"/>
        </w:rPr>
        <w:t xml:space="preserve">deaths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each year by 2050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knock-on effects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trillions from the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economy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Summers suggested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AMR and potential pandemics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alongside climate change and nuclear proliferation,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represent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top three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existential threats to life on earth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 we know it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And as Dr. Chan explained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worst-case scenario implies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 end of modern medicine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as we know it. Even worse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Summers suggested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AMR seems like a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u w:val="single"/>
        </w:rPr>
        <w:t xml:space="preserve">quintessential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non-linear </w:t>
      </w:r>
      <w:r>
        <w:rPr>
          <w:b/>
          <w:i w:val="0"/>
          <w:smallCaps w:val="0"/>
          <w:strike w:val="0"/>
          <w:sz w:val="22"/>
          <w:u w:val="single"/>
        </w:rPr>
        <w:t>phenomenon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therefore more dangerous</w:t>
      </w:r>
      <w:r>
        <w:rPr>
          <w:b w:val="0"/>
          <w:i w:val="0"/>
          <w:smallCaps w:val="0"/>
          <w:strike w:val="0"/>
          <w:u w:val="none"/>
        </w:rPr>
        <w:t xml:space="preserve">.”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Year by year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effects are small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mostly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invisible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at some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point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future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suddenly become catastrophic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like a “levee that doesn’t hold and unleashes a flood</w:t>
      </w:r>
      <w:r>
        <w:rPr>
          <w:b w:val="0"/>
          <w:i w:val="0"/>
          <w:smallCaps w:val="0"/>
          <w:strike w:val="0"/>
          <w:sz w:val="16"/>
          <w:u w:val="none"/>
        </w:rPr>
        <w:t>.” Dr. Chan concurred that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tipping point is not predictable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because</w:t>
      </w:r>
      <w:r>
        <w:rPr>
          <w:b w:val="0"/>
          <w:i w:val="0"/>
          <w:smallCaps w:val="0"/>
          <w:strike w:val="0"/>
          <w:u w:val="none"/>
        </w:rPr>
        <w:t>…</w:t>
      </w:r>
      <w:r>
        <w:rPr>
          <w:b w:val="0"/>
          <w:i w:val="0"/>
          <w:smallCaps w:val="0"/>
          <w:strike w:val="0"/>
          <w:sz w:val="22"/>
          <w:u w:val="single"/>
        </w:rPr>
        <w:t>microbes are invisible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We don’t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even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know when they’re going to make the switch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u w:val="single"/>
        </w:rPr>
        <w:t>to become resistant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to existing drugs. Antimicrobial efficacy is a global public good threatened by serious market failures.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 response to this huge threat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why don’t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pharmaceutical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invest in new antibiotics?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does not pay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them to do so,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explained Osborne.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Pharmaceutical companies want to invest in technologies that will make a lot of money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and soon; so long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as other </w:t>
      </w:r>
      <w:r>
        <w:rPr>
          <w:b w:val="0"/>
          <w:i w:val="0"/>
          <w:smallCaps w:val="0"/>
          <w:strike w:val="0"/>
          <w:sz w:val="22"/>
          <w:u w:val="single"/>
        </w:rPr>
        <w:t>antibiotic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remain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effective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market for new options will be tiny and unprofitable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pStyle w:val="Caption"/>
      </w:pPr>
      <w:r>
        <w:t>Source: Pharma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