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has no other </w:t>
      </w:r>
      <w:r>
        <w:rPr>
          <w:b/>
          <w:i w:val="0"/>
          <w:smallCaps w:val="0"/>
          <w:strike w:val="0"/>
          <w:sz w:val="26"/>
          <w:u w:val="single"/>
        </w:rPr>
        <w:t>specialized meaning</w:t>
      </w:r>
      <w:r>
        <w:rPr>
          <w:b/>
          <w:i w:val="0"/>
          <w:smallCaps w:val="0"/>
          <w:strike w:val="0"/>
          <w:sz w:val="26"/>
          <w:u w:val="none"/>
        </w:rPr>
        <w:t>.</w:t>
      </w:r>
    </w:p>
    <w:p>
      <w:pPr>
        <w:spacing w:after="80"/>
      </w:pPr>
      <w:r>
        <w:rPr>
          <w:b/>
          <w:i w:val="0"/>
          <w:smallCaps w:val="0"/>
          <w:strike w:val="0"/>
          <w:sz w:val="26"/>
          <w:u w:val="none"/>
        </w:rPr>
        <w:t>Nakamoto 19</w:t>
      </w:r>
      <w:r>
        <w:rPr>
          <w:b w:val="0"/>
          <w:i w:val="0"/>
          <w:smallCaps w:val="0"/>
          <w:strike w:val="0"/>
          <w:u w:val="none"/>
        </w:rPr>
        <w:t xml:space="preserve"> – Former justice of the Oregon Supreme Court.</w:t>
      </w:r>
    </w:p>
    <w:p>
      <w:pPr>
        <w:spacing w:after="60"/>
      </w:pPr>
      <w:r>
        <w:rPr>
          <w:b w:val="0"/>
          <w:i w:val="0"/>
          <w:smallCaps w:val="0"/>
          <w:strike w:val="0"/>
          <w:u w:val="none"/>
        </w:rPr>
        <w:t>Lynn R. Nakamoto, “Stop the Dump Coal. V. Yamhill City,” 364 Ore. 432, 28 February 2019, pp. 19-21, Lexis.</w:t>
      </w:r>
    </w:p>
    <w:p>
      <w:pPr>
        <w:spacing w:after="60"/>
      </w:pPr>
      <w:r>
        <w:rPr>
          <w:b w:val="0"/>
          <w:i w:val="0"/>
          <w:smallCaps w:val="0"/>
          <w:strike w:val="0"/>
          <w:sz w:val="16"/>
          <w:u w:val="none"/>
        </w:rPr>
        <w:t xml:space="preserve">In broad terms, the parties have two disparate views of how the farm impacts test works. Riverbend and the county defend the Court of Appeals decision. In their view, to determine the significance of changes or cost increases on a single farm or multiple farms caused by a proposed nonfarm use, the local government must take a global view and consider whether the changes rise to the level of causing certain large-scale effects in the surrounding lands, especially a decrease in the supply of agricultural land. Petitioners, on the other hand, see the test operating in granular terms, farm by farm and farm practice by farm practice. They contend that the text of ORS 215.296 indicates that the farm impacts test requires (1) the applicant to properly identify the surrounding lands, the farms on those lands, the accepted farm practices on each farm, and the impacts of the proposed nonfarm use on each farm practice; (2) the local government to determine whether the proposed nonfarm use will force a "significant" change to, or cost increase in, an accepted farm practice, as that term is ordinarily used; and (3) if there is a significant change, the local government to determine whether the applicant has demonstrated that, with conditions of approval imposed pursuant to subsection (2) of the statute, the nonfarm use meets the test. As we will explain, we agree with petitioners that </w:t>
      </w:r>
      <w:r>
        <w:rPr>
          <w:b w:val="0"/>
          <w:i w:val="0"/>
          <w:smallCaps w:val="0"/>
          <w:strike w:val="0"/>
          <w:sz w:val="22"/>
          <w:u w:val="single"/>
        </w:rPr>
        <w:t>the legislature intended</w:t>
      </w:r>
      <w:r>
        <w:rPr>
          <w:b w:val="0"/>
          <w:i w:val="0"/>
          <w:smallCaps w:val="0"/>
          <w:strike w:val="0"/>
          <w:sz w:val="16"/>
          <w:u w:val="none"/>
        </w:rPr>
        <w:t xml:space="preserve"> the farm impacts test to apply on a farm-by-farm and farm practice-by-farm practice basis and intended </w:t>
      </w:r>
      <w:r>
        <w:rPr>
          <w:b w:val="0"/>
          <w:i w:val="0"/>
          <w:smallCaps w:val="0"/>
          <w:strike w:val="0"/>
          <w:sz w:val="22"/>
          <w:u w:val="single"/>
        </w:rPr>
        <w:t xml:space="preserve">to use the </w:t>
      </w:r>
      <w:r>
        <w:rPr>
          <w:b/>
          <w:i w:val="0"/>
          <w:smallCaps w:val="0"/>
          <w:strike w:val="0"/>
          <w:sz w:val="22"/>
          <w:u w:val="single"/>
        </w:rPr>
        <w:t>ordinary meaning</w:t>
      </w:r>
      <w:r>
        <w:rPr>
          <w:b w:val="0"/>
          <w:i w:val="0"/>
          <w:smallCaps w:val="0"/>
          <w:strike w:val="0"/>
          <w:sz w:val="22"/>
          <w:u w:val="single"/>
        </w:rPr>
        <w:t xml:space="preserve"> of</w:t>
      </w:r>
      <w:r>
        <w:rPr>
          <w:b w:val="0"/>
          <w:i w:val="0"/>
          <w:smallCaps w:val="0"/>
          <w:strike w:val="0"/>
          <w:sz w:val="16"/>
          <w:u w:val="none"/>
        </w:rPr>
        <w:t xml:space="preserve"> "significant" and "</w:t>
      </w:r>
      <w:r>
        <w:rPr>
          <w:b/>
          <w:i w:val="0"/>
          <w:smallCaps w:val="0"/>
          <w:strike w:val="0"/>
          <w:sz w:val="22"/>
          <w:u w:val="single"/>
        </w:rPr>
        <w:t>significantly</w:t>
      </w:r>
      <w:r>
        <w:rPr>
          <w:b w:val="0"/>
          <w:i w:val="0"/>
          <w:smallCaps w:val="0"/>
          <w:strike w:val="0"/>
          <w:sz w:val="16"/>
          <w:u w:val="none"/>
        </w:rPr>
        <w:t xml:space="preserve">" in ORS 215.296(1), </w:t>
      </w:r>
      <w:r>
        <w:rPr>
          <w:b/>
          <w:i w:val="0"/>
          <w:smallCaps w:val="0"/>
          <w:strike w:val="0"/>
          <w:sz w:val="22"/>
          <w:u w:val="single"/>
        </w:rPr>
        <w:t>not</w:t>
      </w:r>
      <w:r>
        <w:rPr>
          <w:b w:val="0"/>
          <w:i w:val="0"/>
          <w:smallCaps w:val="0"/>
          <w:strike w:val="0"/>
          <w:sz w:val="22"/>
          <w:u w:val="single"/>
        </w:rPr>
        <w:t xml:space="preserve"> a </w:t>
      </w:r>
      <w:r>
        <w:rPr>
          <w:b/>
          <w:i w:val="0"/>
          <w:smallCaps w:val="0"/>
          <w:strike w:val="0"/>
          <w:sz w:val="22"/>
          <w:u w:val="single"/>
        </w:rPr>
        <w:t>specialized meaning</w:t>
      </w:r>
      <w:r>
        <w:rPr>
          <w:b w:val="0"/>
          <w:i w:val="0"/>
          <w:smallCaps w:val="0"/>
          <w:strike w:val="0"/>
          <w:sz w:val="16"/>
          <w:u w:val="none"/>
        </w:rPr>
        <w:t xml:space="preserve"> tied to the supply of agricultural land, supply of food, or farm profitability.</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