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“Significantly” is defined based on context – no uniform definition.</w:t>
      </w:r>
    </w:p>
    <w:p>
      <w:pPr>
        <w:spacing w:after="80"/>
      </w:pPr>
      <w:r>
        <w:rPr>
          <w:b/>
          <w:i w:val="0"/>
          <w:smallCaps w:val="0"/>
          <w:strike w:val="0"/>
          <w:sz w:val="26"/>
          <w:u w:val="none"/>
        </w:rPr>
        <w:t>Breyer 05</w:t>
      </w:r>
      <w:r>
        <w:rPr>
          <w:b w:val="0"/>
          <w:i w:val="0"/>
          <w:smallCaps w:val="0"/>
          <w:strike w:val="0"/>
          <w:u w:val="none"/>
        </w:rPr>
        <w:t xml:space="preserve"> –</w:t>
      </w:r>
      <w:r>
        <w:rPr>
          <w:b w:val="0"/>
          <w:i w:val="0"/>
          <w:smallCaps w:val="0"/>
          <w:strike w:val="0"/>
          <w:u w:val="none"/>
        </w:rPr>
        <w:t xml:space="preserve"> </w:t>
      </w:r>
      <w:r>
        <w:rPr>
          <w:b w:val="0"/>
          <w:i w:val="0"/>
          <w:smallCaps w:val="0"/>
          <w:strike w:val="0"/>
          <w:u w:val="none"/>
        </w:rPr>
        <w:t>Judge for the U.S. District Court for the Northern District of California.</w:t>
      </w:r>
    </w:p>
    <w:p>
      <w:pPr>
        <w:spacing w:after="60"/>
      </w:pPr>
      <w:r>
        <w:rPr>
          <w:b w:val="0"/>
          <w:i w:val="0"/>
          <w:smallCaps w:val="0"/>
          <w:strike w:val="0"/>
          <w:u w:val="none"/>
        </w:rPr>
        <w:t xml:space="preserve">Charles R. Breyer, “Sierra Club v. Bosworth,” </w:t>
      </w:r>
      <w:r>
        <w:rPr>
          <w:b w:val="0"/>
          <w:i w:val="0"/>
          <w:smallCaps w:val="0"/>
          <w:strike w:val="0"/>
          <w:u w:val="none"/>
        </w:rPr>
        <w:t xml:space="preserve">2005 U.S. Dist. LEXIS 27573, 14 November 2005, pp. 27-28, Lexis. </w:t>
      </w:r>
    </w:p>
    <w:p>
      <w:pPr>
        <w:spacing w:after="60"/>
      </w:pPr>
      <w:r>
        <w:rPr>
          <w:b w:val="0"/>
          <w:i w:val="0"/>
          <w:smallCaps w:val="0"/>
          <w:strike w:val="0"/>
          <w:sz w:val="16"/>
          <w:u w:val="none"/>
        </w:rPr>
        <w:t xml:space="preserve">The central concern of the Court's analysis is not whether the new information supports the Forest Service's original conclusions, or whether the effect of the project on the fisher is more likely to lead toward listing, but whether there are "significant new circumstances or information relevant to environmental concerns and bearing on the proposed action or its impacts." Friends of the Clearwater, 222 F.3d at 557 (emphasis added). If so, NEPA requires the agency to conduct a supplemental environmental analysis. Id.; see also Marsh, 490 U.S. at 374. </w:t>
      </w:r>
      <w:r>
        <w:rPr>
          <w:b w:val="0"/>
          <w:i w:val="0"/>
          <w:smallCaps w:val="0"/>
          <w:strike w:val="0"/>
          <w:sz w:val="22"/>
          <w:u w:val="single"/>
        </w:rPr>
        <w:t>Regulations</w:t>
      </w:r>
      <w:r>
        <w:rPr>
          <w:b w:val="0"/>
          <w:i w:val="0"/>
          <w:smallCaps w:val="0"/>
          <w:strike w:val="0"/>
          <w:sz w:val="16"/>
          <w:u w:val="none"/>
        </w:rPr>
        <w:t xml:space="preserve"> promulgated pursuant to NEPA by the Council on Environmental Quality ("CEQ") </w:t>
      </w:r>
      <w:r>
        <w:rPr>
          <w:b/>
          <w:i w:val="0"/>
          <w:smallCaps w:val="0"/>
          <w:strike w:val="0"/>
          <w:sz w:val="22"/>
          <w:u w:val="single"/>
        </w:rPr>
        <w:t>define</w:t>
      </w:r>
      <w:r>
        <w:rPr>
          <w:b w:val="0"/>
          <w:i w:val="0"/>
          <w:smallCaps w:val="0"/>
          <w:strike w:val="0"/>
          <w:sz w:val="22"/>
          <w:u w:val="single"/>
        </w:rPr>
        <w:t xml:space="preserve"> significantly' as "requir[ing] </w:t>
      </w:r>
      <w:r>
        <w:rPr>
          <w:b/>
          <w:i w:val="0"/>
          <w:smallCaps w:val="0"/>
          <w:strike w:val="0"/>
          <w:sz w:val="22"/>
          <w:u w:val="single"/>
        </w:rPr>
        <w:t>considerations</w:t>
      </w:r>
      <w:r>
        <w:rPr>
          <w:b w:val="0"/>
          <w:i w:val="0"/>
          <w:smallCaps w:val="0"/>
          <w:strike w:val="0"/>
          <w:sz w:val="22"/>
          <w:u w:val="single"/>
        </w:rPr>
        <w:t xml:space="preserve"> of</w:t>
      </w:r>
      <w:r>
        <w:rPr>
          <w:b w:val="0"/>
          <w:i w:val="0"/>
          <w:smallCaps w:val="0"/>
          <w:strike w:val="0"/>
          <w:sz w:val="16"/>
          <w:u w:val="none"/>
        </w:rPr>
        <w:t xml:space="preserve"> </w:t>
      </w:r>
      <w:r>
        <w:rPr>
          <w:b w:val="0"/>
          <w:i w:val="0"/>
          <w:smallCaps w:val="0"/>
          <w:strike w:val="0"/>
          <w:sz w:val="22"/>
          <w:u w:val="single"/>
        </w:rPr>
        <w:t xml:space="preserve">both </w:t>
      </w:r>
      <w:r>
        <w:rPr>
          <w:b/>
          <w:i w:val="0"/>
          <w:smallCaps w:val="0"/>
          <w:strike w:val="0"/>
          <w:sz w:val="22"/>
          <w:u w:val="single"/>
        </w:rPr>
        <w:t>context</w:t>
      </w:r>
      <w:r>
        <w:rPr>
          <w:b w:val="0"/>
          <w:i w:val="0"/>
          <w:smallCaps w:val="0"/>
          <w:strike w:val="0"/>
          <w:sz w:val="22"/>
          <w:u w:val="single"/>
        </w:rPr>
        <w:t xml:space="preserve"> and </w:t>
      </w:r>
      <w:r>
        <w:rPr>
          <w:b/>
          <w:i w:val="0"/>
          <w:smallCaps w:val="0"/>
          <w:strike w:val="0"/>
          <w:sz w:val="22"/>
          <w:u w:val="single"/>
        </w:rPr>
        <w:t>intensity</w:t>
      </w:r>
      <w:r>
        <w:rPr>
          <w:b w:val="0"/>
          <w:i w:val="0"/>
          <w:smallCaps w:val="0"/>
          <w:strike w:val="0"/>
          <w:sz w:val="16"/>
          <w:u w:val="none"/>
        </w:rPr>
        <w:t xml:space="preserve">." Friends of the Clearwater, 222 F.3d at 557 n.4 (quoting 40 C.F.R. § 1508.27). </w:t>
      </w:r>
      <w:r>
        <w:rPr>
          <w:b/>
          <w:i w:val="0"/>
          <w:smallCaps w:val="0"/>
          <w:strike w:val="0"/>
          <w:sz w:val="22"/>
          <w:u w:val="single"/>
        </w:rPr>
        <w:t>Context</w:t>
      </w:r>
      <w:r>
        <w:rPr>
          <w:b w:val="0"/>
          <w:i w:val="0"/>
          <w:smallCaps w:val="0"/>
          <w:strike w:val="0"/>
          <w:sz w:val="22"/>
          <w:u w:val="single"/>
        </w:rPr>
        <w:t xml:space="preserve"> means</w:t>
      </w:r>
      <w:r>
        <w:rPr>
          <w:b w:val="0"/>
          <w:i w:val="0"/>
          <w:smallCaps w:val="0"/>
          <w:strike w:val="0"/>
          <w:sz w:val="16"/>
          <w:u w:val="none"/>
        </w:rPr>
        <w:t xml:space="preserve"> that "</w:t>
      </w:r>
      <w:r>
        <w:rPr>
          <w:b w:val="0"/>
          <w:i w:val="0"/>
          <w:smallCaps w:val="0"/>
          <w:strike w:val="0"/>
          <w:sz w:val="22"/>
          <w:u w:val="single"/>
        </w:rPr>
        <w:t xml:space="preserve">the </w:t>
      </w:r>
      <w:r>
        <w:rPr>
          <w:b/>
          <w:i w:val="0"/>
          <w:smallCaps w:val="0"/>
          <w:strike w:val="0"/>
          <w:sz w:val="22"/>
          <w:u w:val="single"/>
        </w:rPr>
        <w:t>significance</w:t>
      </w:r>
      <w:r>
        <w:rPr>
          <w:b w:val="0"/>
          <w:i w:val="0"/>
          <w:smallCaps w:val="0"/>
          <w:strike w:val="0"/>
          <w:sz w:val="22"/>
          <w:u w:val="single"/>
        </w:rPr>
        <w:t xml:space="preserve"> of an action must be </w:t>
      </w:r>
      <w:r>
        <w:rPr>
          <w:b/>
          <w:i w:val="0"/>
          <w:smallCaps w:val="0"/>
          <w:strike w:val="0"/>
          <w:sz w:val="22"/>
          <w:u w:val="single"/>
        </w:rPr>
        <w:t>analyzed</w:t>
      </w:r>
      <w:r>
        <w:rPr>
          <w:b w:val="0"/>
          <w:i w:val="0"/>
          <w:smallCaps w:val="0"/>
          <w:strike w:val="0"/>
          <w:sz w:val="22"/>
          <w:u w:val="single"/>
        </w:rPr>
        <w:t xml:space="preserve"> in </w:t>
      </w:r>
      <w:r>
        <w:rPr>
          <w:b/>
          <w:i w:val="0"/>
          <w:smallCaps w:val="0"/>
          <w:strike w:val="0"/>
          <w:sz w:val="22"/>
          <w:u w:val="single"/>
        </w:rPr>
        <w:t>several contexts</w:t>
      </w:r>
      <w:r>
        <w:rPr>
          <w:b w:val="0"/>
          <w:i w:val="0"/>
          <w:smallCaps w:val="0"/>
          <w:strike w:val="0"/>
          <w:sz w:val="22"/>
          <w:u w:val="single"/>
        </w:rPr>
        <w:t>," including</w:t>
      </w:r>
      <w:r>
        <w:rPr>
          <w:b w:val="0"/>
          <w:i w:val="0"/>
          <w:smallCaps w:val="0"/>
          <w:strike w:val="0"/>
          <w:sz w:val="16"/>
          <w:u w:val="none"/>
        </w:rPr>
        <w:t xml:space="preserve"> both </w:t>
      </w:r>
      <w:r>
        <w:rPr>
          <w:b/>
          <w:i w:val="0"/>
          <w:smallCaps w:val="0"/>
          <w:strike w:val="0"/>
          <w:sz w:val="22"/>
          <w:u w:val="single"/>
        </w:rPr>
        <w:t>site-specific</w:t>
      </w:r>
      <w:r>
        <w:rPr>
          <w:b w:val="0"/>
          <w:i w:val="0"/>
          <w:smallCaps w:val="0"/>
          <w:strike w:val="0"/>
          <w:sz w:val="22"/>
          <w:u w:val="single"/>
        </w:rPr>
        <w:t xml:space="preserve">, regional and </w:t>
      </w:r>
      <w:r>
        <w:rPr>
          <w:b/>
          <w:i w:val="0"/>
          <w:smallCaps w:val="0"/>
          <w:strike w:val="0"/>
          <w:sz w:val="22"/>
          <w:u w:val="single"/>
        </w:rPr>
        <w:t>national</w:t>
      </w:r>
      <w:r>
        <w:rPr>
          <w:b w:val="0"/>
          <w:i w:val="0"/>
          <w:smallCaps w:val="0"/>
          <w:strike w:val="0"/>
          <w:sz w:val="16"/>
          <w:u w:val="none"/>
        </w:rPr>
        <w:t xml:space="preserve">. Id. </w:t>
      </w:r>
      <w:r>
        <w:rPr>
          <w:b/>
          <w:i w:val="0"/>
          <w:smallCaps w:val="0"/>
          <w:strike w:val="0"/>
          <w:sz w:val="22"/>
          <w:u w:val="single"/>
        </w:rPr>
        <w:t>Intensity</w:t>
      </w:r>
      <w:r>
        <w:rPr>
          <w:b w:val="0"/>
          <w:i w:val="0"/>
          <w:smallCaps w:val="0"/>
          <w:strike w:val="0"/>
          <w:sz w:val="22"/>
          <w:u w:val="single"/>
        </w:rPr>
        <w:t xml:space="preserve"> "refers to</w:t>
      </w:r>
      <w:r>
        <w:rPr>
          <w:b w:val="0"/>
          <w:i w:val="0"/>
          <w:smallCaps w:val="0"/>
          <w:strike w:val="0"/>
          <w:sz w:val="16"/>
          <w:u w:val="none"/>
        </w:rPr>
        <w:t xml:space="preserve"> the severity of the impact," and, in relevant part, </w:t>
      </w:r>
      <w:r>
        <w:rPr>
          <w:b w:val="0"/>
          <w:i w:val="0"/>
          <w:smallCaps w:val="0"/>
          <w:strike w:val="0"/>
          <w:sz w:val="22"/>
          <w:u w:val="single"/>
        </w:rPr>
        <w:t xml:space="preserve">the </w:t>
      </w:r>
      <w:r>
        <w:rPr>
          <w:b/>
          <w:i w:val="0"/>
          <w:smallCaps w:val="0"/>
          <w:strike w:val="0"/>
          <w:sz w:val="22"/>
          <w:u w:val="single"/>
        </w:rPr>
        <w:t>following factors</w:t>
      </w:r>
      <w:r>
        <w:rPr>
          <w:b w:val="0"/>
          <w:i w:val="0"/>
          <w:smallCaps w:val="0"/>
          <w:strike w:val="0"/>
          <w:sz w:val="16"/>
          <w:u w:val="none"/>
        </w:rPr>
        <w:t xml:space="preserve"> should be considered:</w:t>
      </w:r>
    </w:p>
    <w:p>
      <w:pPr>
        <w:spacing w:after="60"/>
      </w:pPr>
      <w:r>
        <w:rPr>
          <w:b w:val="0"/>
          <w:i w:val="0"/>
          <w:smallCaps w:val="0"/>
          <w:strike w:val="0"/>
          <w:sz w:val="16"/>
          <w:u w:val="none"/>
        </w:rPr>
        <w:t xml:space="preserve">(4) </w:t>
      </w:r>
      <w:r>
        <w:rPr>
          <w:b w:val="0"/>
          <w:i w:val="0"/>
          <w:smallCaps w:val="0"/>
          <w:strike w:val="0"/>
          <w:sz w:val="22"/>
          <w:u w:val="single"/>
        </w:rPr>
        <w:t xml:space="preserve">The </w:t>
      </w:r>
      <w:r>
        <w:rPr>
          <w:b/>
          <w:i w:val="0"/>
          <w:smallCaps w:val="0"/>
          <w:strike w:val="0"/>
          <w:sz w:val="22"/>
          <w:u w:val="single"/>
        </w:rPr>
        <w:t>degree</w:t>
      </w:r>
      <w:r>
        <w:rPr>
          <w:b w:val="0"/>
          <w:i w:val="0"/>
          <w:smallCaps w:val="0"/>
          <w:strike w:val="0"/>
          <w:sz w:val="22"/>
          <w:u w:val="single"/>
        </w:rPr>
        <w:t xml:space="preserve"> to which the effects</w:t>
      </w:r>
      <w:r>
        <w:rPr>
          <w:b w:val="0"/>
          <w:i w:val="0"/>
          <w:smallCaps w:val="0"/>
          <w:strike w:val="0"/>
          <w:sz w:val="16"/>
          <w:u w:val="none"/>
        </w:rPr>
        <w:t xml:space="preserve"> on the quality of the human environment </w:t>
      </w:r>
      <w:r>
        <w:rPr>
          <w:b w:val="0"/>
          <w:i w:val="0"/>
          <w:smallCaps w:val="0"/>
          <w:strike w:val="0"/>
          <w:sz w:val="22"/>
          <w:u w:val="single"/>
        </w:rPr>
        <w:t>are</w:t>
      </w:r>
      <w:r>
        <w:rPr>
          <w:b w:val="0"/>
          <w:i w:val="0"/>
          <w:smallCaps w:val="0"/>
          <w:strike w:val="0"/>
          <w:sz w:val="16"/>
          <w:u w:val="none"/>
        </w:rPr>
        <w:t xml:space="preserve"> likely to be </w:t>
      </w:r>
      <w:r>
        <w:rPr>
          <w:b/>
          <w:i w:val="0"/>
          <w:smallCaps w:val="0"/>
          <w:strike w:val="0"/>
          <w:sz w:val="22"/>
          <w:u w:val="single"/>
        </w:rPr>
        <w:t>highly controversial</w:t>
      </w:r>
      <w:r>
        <w:rPr>
          <w:b w:val="0"/>
          <w:i w:val="0"/>
          <w:smallCaps w:val="0"/>
          <w:strike w:val="0"/>
          <w:sz w:val="16"/>
          <w:u w:val="none"/>
        </w:rPr>
        <w:t xml:space="preserve">; (5) </w:t>
      </w:r>
      <w:r>
        <w:rPr>
          <w:b w:val="0"/>
          <w:i w:val="0"/>
          <w:smallCaps w:val="0"/>
          <w:strike w:val="0"/>
          <w:sz w:val="22"/>
          <w:u w:val="single"/>
        </w:rPr>
        <w:t xml:space="preserve">The degree to which the </w:t>
      </w:r>
      <w:r>
        <w:rPr>
          <w:b/>
          <w:i w:val="0"/>
          <w:smallCaps w:val="0"/>
          <w:strike w:val="0"/>
          <w:sz w:val="22"/>
          <w:u w:val="single"/>
        </w:rPr>
        <w:t>possible effects</w:t>
      </w:r>
      <w:r>
        <w:rPr>
          <w:b w:val="0"/>
          <w:i w:val="0"/>
          <w:smallCaps w:val="0"/>
          <w:strike w:val="0"/>
          <w:sz w:val="16"/>
          <w:u w:val="none"/>
        </w:rPr>
        <w:t xml:space="preserve"> on the human environment </w:t>
      </w:r>
      <w:r>
        <w:rPr>
          <w:b w:val="0"/>
          <w:i w:val="0"/>
          <w:smallCaps w:val="0"/>
          <w:strike w:val="0"/>
          <w:sz w:val="22"/>
          <w:u w:val="single"/>
        </w:rPr>
        <w:t>are</w:t>
      </w:r>
      <w:r>
        <w:rPr>
          <w:b w:val="0"/>
          <w:i w:val="0"/>
          <w:smallCaps w:val="0"/>
          <w:strike w:val="0"/>
          <w:sz w:val="16"/>
          <w:u w:val="none"/>
        </w:rPr>
        <w:t xml:space="preserve"> highly </w:t>
      </w:r>
      <w:r>
        <w:rPr>
          <w:b/>
          <w:i w:val="0"/>
          <w:smallCaps w:val="0"/>
          <w:strike w:val="0"/>
          <w:sz w:val="22"/>
          <w:u w:val="single"/>
        </w:rPr>
        <w:t>uncertain</w:t>
      </w:r>
      <w:r>
        <w:rPr>
          <w:b w:val="0"/>
          <w:i w:val="0"/>
          <w:smallCaps w:val="0"/>
          <w:strike w:val="0"/>
          <w:sz w:val="16"/>
          <w:u w:val="none"/>
        </w:rPr>
        <w:t xml:space="preserve"> or involve unique or unknown risks; and (7) </w:t>
      </w:r>
      <w:r>
        <w:rPr>
          <w:b w:val="0"/>
          <w:i w:val="0"/>
          <w:smallCaps w:val="0"/>
          <w:strike w:val="0"/>
          <w:sz w:val="22"/>
          <w:u w:val="single"/>
        </w:rPr>
        <w:t xml:space="preserve">whether the action is </w:t>
      </w:r>
      <w:r>
        <w:rPr>
          <w:b/>
          <w:i w:val="0"/>
          <w:smallCaps w:val="0"/>
          <w:strike w:val="0"/>
          <w:sz w:val="22"/>
          <w:u w:val="single"/>
        </w:rPr>
        <w:t>related</w:t>
      </w:r>
      <w:r>
        <w:rPr>
          <w:b w:val="0"/>
          <w:i w:val="0"/>
          <w:smallCaps w:val="0"/>
          <w:strike w:val="0"/>
          <w:sz w:val="22"/>
          <w:u w:val="single"/>
        </w:rPr>
        <w:t xml:space="preserve"> to </w:t>
      </w:r>
      <w:r>
        <w:rPr>
          <w:b/>
          <w:i w:val="0"/>
          <w:smallCaps w:val="0"/>
          <w:strike w:val="0"/>
          <w:sz w:val="22"/>
          <w:u w:val="single"/>
        </w:rPr>
        <w:t>other actions</w:t>
      </w:r>
      <w:r>
        <w:rPr>
          <w:b w:val="0"/>
          <w:i w:val="0"/>
          <w:smallCaps w:val="0"/>
          <w:strike w:val="0"/>
          <w:sz w:val="22"/>
          <w:u w:val="single"/>
        </w:rPr>
        <w:t xml:space="preserve"> with </w:t>
      </w:r>
      <w:r>
        <w:rPr>
          <w:b/>
          <w:i w:val="0"/>
          <w:smallCaps w:val="0"/>
          <w:strike w:val="0"/>
          <w:sz w:val="22"/>
          <w:u w:val="single"/>
        </w:rPr>
        <w:t>individually insignificant</w:t>
      </w:r>
      <w:r>
        <w:rPr>
          <w:b w:val="0"/>
          <w:i w:val="0"/>
          <w:smallCaps w:val="0"/>
          <w:strike w:val="0"/>
          <w:sz w:val="22"/>
          <w:u w:val="single"/>
        </w:rPr>
        <w:t xml:space="preserve"> but </w:t>
      </w:r>
      <w:r>
        <w:rPr>
          <w:b/>
          <w:i w:val="0"/>
          <w:smallCaps w:val="0"/>
          <w:strike w:val="0"/>
          <w:sz w:val="22"/>
          <w:u w:val="single"/>
        </w:rPr>
        <w:t>cumulatively significant</w:t>
      </w:r>
      <w:r>
        <w:rPr>
          <w:b w:val="0"/>
          <w:i w:val="0"/>
          <w:smallCaps w:val="0"/>
          <w:strike w:val="0"/>
          <w:sz w:val="22"/>
          <w:u w:val="single"/>
        </w:rPr>
        <w:t xml:space="preserve"> impacts.</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