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“Protection” of IP is the extent of rights available.</w:t>
      </w:r>
    </w:p>
    <w:p>
      <w:pPr>
        <w:spacing w:after="80"/>
      </w:pPr>
      <w:r>
        <w:rPr>
          <w:b/>
          <w:i w:val="0"/>
          <w:smallCaps w:val="0"/>
          <w:strike w:val="0"/>
          <w:sz w:val="26"/>
          <w:u w:val="none"/>
        </w:rPr>
        <w:t>GULC N.D.</w:t>
      </w:r>
      <w:r>
        <w:rPr>
          <w:b w:val="0"/>
          <w:i w:val="0"/>
          <w:smallCaps w:val="0"/>
          <w:strike w:val="0"/>
          <w:u w:val="none"/>
        </w:rPr>
        <w:t xml:space="preserve"> – Georgetown University Law Center.</w:t>
      </w:r>
    </w:p>
    <w:p>
      <w:pPr>
        <w:spacing w:after="60"/>
      </w:pPr>
      <w:r>
        <w:rPr>
          <w:b w:val="0"/>
          <w:i w:val="0"/>
          <w:smallCaps w:val="0"/>
          <w:strike w:val="0"/>
          <w:u w:val="none"/>
        </w:rPr>
        <w:t xml:space="preserve">“Intellectual Property Law,” </w:t>
      </w:r>
      <w:r>
        <w:rPr>
          <w:b w:val="0"/>
          <w:i/>
          <w:smallCaps w:val="0"/>
          <w:strike w:val="0"/>
          <w:u w:val="none"/>
        </w:rPr>
        <w:t>Georgetown University Law Center</w:t>
      </w:r>
      <w:r>
        <w:rPr>
          <w:b w:val="0"/>
          <w:i w:val="0"/>
          <w:smallCaps w:val="0"/>
          <w:strike w:val="0"/>
          <w:u w:val="none"/>
        </w:rPr>
        <w:t xml:space="preserve">, https://www.law.georgetown.edu/your-life-career/career-exploration-professional-development/for-jd-students/explore-legal-careers/practice-areas/intellectual-property-law/, accessed 26 May 2024. </w:t>
      </w:r>
    </w:p>
    <w:p>
      <w:pPr>
        <w:spacing w:after="60"/>
      </w:pPr>
      <w:r>
        <w:rPr>
          <w:b/>
          <w:i w:val="0"/>
          <w:smallCaps w:val="0"/>
          <w:strike w:val="0"/>
          <w:sz w:val="22"/>
          <w:u w:val="single"/>
        </w:rPr>
        <w:t>Protection</w:t>
      </w:r>
      <w:r>
        <w:rPr>
          <w:b w:val="0"/>
          <w:i w:val="0"/>
          <w:smallCaps w:val="0"/>
          <w:strike w:val="0"/>
          <w:sz w:val="22"/>
          <w:u w:val="single"/>
        </w:rPr>
        <w:t xml:space="preserve"> of </w:t>
      </w:r>
      <w:r>
        <w:rPr>
          <w:b/>
          <w:i w:val="0"/>
          <w:smallCaps w:val="0"/>
          <w:strike w:val="0"/>
          <w:sz w:val="22"/>
          <w:u w:val="single"/>
        </w:rPr>
        <w:t>i</w:t>
      </w:r>
      <w:r>
        <w:rPr>
          <w:b w:val="0"/>
          <w:i w:val="0"/>
          <w:smallCaps w:val="0"/>
          <w:strike w:val="0"/>
          <w:sz w:val="22"/>
          <w:u w:val="single"/>
        </w:rPr>
        <w:t xml:space="preserve">ntellectual </w:t>
      </w:r>
      <w:r>
        <w:rPr>
          <w:b/>
          <w:i w:val="0"/>
          <w:smallCaps w:val="0"/>
          <w:strike w:val="0"/>
          <w:sz w:val="22"/>
          <w:u w:val="single"/>
        </w:rPr>
        <w:t>p</w:t>
      </w:r>
      <w:r>
        <w:rPr>
          <w:b w:val="0"/>
          <w:i w:val="0"/>
          <w:smallCaps w:val="0"/>
          <w:strike w:val="0"/>
          <w:sz w:val="22"/>
          <w:u w:val="single"/>
        </w:rPr>
        <w:t xml:space="preserve">roperty involves </w:t>
      </w:r>
      <w:r>
        <w:rPr>
          <w:b/>
          <w:i w:val="0"/>
          <w:smallCaps w:val="0"/>
          <w:strike w:val="0"/>
          <w:sz w:val="22"/>
          <w:u w:val="single"/>
        </w:rPr>
        <w:t>registering</w:t>
      </w:r>
      <w:r>
        <w:rPr>
          <w:b w:val="0"/>
          <w:i w:val="0"/>
          <w:smallCaps w:val="0"/>
          <w:strike w:val="0"/>
          <w:sz w:val="22"/>
          <w:u w:val="single"/>
        </w:rPr>
        <w:t xml:space="preserve"> the </w:t>
      </w:r>
      <w:r>
        <w:rPr>
          <w:b/>
          <w:i w:val="0"/>
          <w:smallCaps w:val="0"/>
          <w:strike w:val="0"/>
          <w:sz w:val="22"/>
          <w:u w:val="single"/>
        </w:rPr>
        <w:t>trademark</w:t>
      </w:r>
      <w:r>
        <w:rPr>
          <w:b w:val="0"/>
          <w:i w:val="0"/>
          <w:smallCaps w:val="0"/>
          <w:strike w:val="0"/>
          <w:sz w:val="22"/>
          <w:u w:val="single"/>
        </w:rPr>
        <w:t xml:space="preserve">, </w:t>
      </w:r>
      <w:r>
        <w:rPr>
          <w:b/>
          <w:i w:val="0"/>
          <w:smallCaps w:val="0"/>
          <w:strike w:val="0"/>
          <w:sz w:val="22"/>
          <w:u w:val="single"/>
        </w:rPr>
        <w:t>patent</w:t>
      </w:r>
      <w:r>
        <w:rPr>
          <w:b w:val="0"/>
          <w:i w:val="0"/>
          <w:smallCaps w:val="0"/>
          <w:strike w:val="0"/>
          <w:sz w:val="22"/>
          <w:u w:val="single"/>
        </w:rPr>
        <w:t xml:space="preserve"> or </w:t>
      </w:r>
      <w:r>
        <w:rPr>
          <w:b/>
          <w:i w:val="0"/>
          <w:smallCaps w:val="0"/>
          <w:strike w:val="0"/>
          <w:sz w:val="22"/>
          <w:u w:val="single"/>
        </w:rPr>
        <w:t>copyright</w:t>
      </w:r>
      <w:r>
        <w:rPr>
          <w:b w:val="0"/>
          <w:i w:val="0"/>
          <w:smallCaps w:val="0"/>
          <w:strike w:val="0"/>
          <w:sz w:val="22"/>
          <w:u w:val="single"/>
        </w:rPr>
        <w:t xml:space="preserve"> to </w:t>
      </w:r>
      <w:r>
        <w:rPr>
          <w:b/>
          <w:i w:val="0"/>
          <w:smallCaps w:val="0"/>
          <w:strike w:val="0"/>
          <w:sz w:val="22"/>
          <w:u w:val="single"/>
        </w:rPr>
        <w:t>obtain</w:t>
      </w:r>
      <w:r>
        <w:rPr>
          <w:b w:val="0"/>
          <w:i w:val="0"/>
          <w:smallCaps w:val="0"/>
          <w:strike w:val="0"/>
          <w:sz w:val="22"/>
          <w:u w:val="single"/>
        </w:rPr>
        <w:t xml:space="preserve"> the </w:t>
      </w:r>
      <w:r>
        <w:rPr>
          <w:b/>
          <w:i w:val="0"/>
          <w:smallCaps w:val="0"/>
          <w:strike w:val="0"/>
          <w:sz w:val="22"/>
          <w:u w:val="single"/>
        </w:rPr>
        <w:t>greatest rights available</w:t>
      </w:r>
      <w:r>
        <w:rPr>
          <w:b w:val="0"/>
          <w:i w:val="0"/>
          <w:smallCaps w:val="0"/>
          <w:strike w:val="0"/>
          <w:sz w:val="16"/>
          <w:u w:val="none"/>
        </w:rPr>
        <w:t xml:space="preserve"> for the client’s asset. In the case of a trademark or patent, the process involves preparing and filing an application with the United States Patent and Trademark Office (PTO) and responding to actions issues by the PTO until the trademark is registered or patent issues.</w:t>
      </w:r>
    </w:p>
    <w:p>
      <w:pPr>
        <w:pStyle w:val="Caption"/>
      </w:pPr>
      <w:r>
        <w:t>Source: Topicality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