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“Strengthening protection” is explicitly </w:t>
      </w:r>
      <w:r>
        <w:rPr>
          <w:b/>
          <w:i w:val="0"/>
          <w:smallCaps w:val="0"/>
          <w:strike w:val="0"/>
          <w:sz w:val="26"/>
          <w:u w:val="single"/>
        </w:rPr>
        <w:t>distinguished</w:t>
      </w:r>
      <w:r>
        <w:rPr>
          <w:b/>
          <w:i w:val="0"/>
          <w:smallCaps w:val="0"/>
          <w:strike w:val="0"/>
          <w:sz w:val="26"/>
          <w:u w:val="none"/>
        </w:rPr>
        <w:t xml:space="preserve"> from expanding </w:t>
      </w:r>
      <w:r>
        <w:rPr>
          <w:b/>
          <w:i w:val="0"/>
          <w:smallCaps w:val="0"/>
          <w:strike w:val="0"/>
          <w:sz w:val="26"/>
          <w:u w:val="none"/>
        </w:rPr>
        <w:t xml:space="preserve">the subject of IP law </w:t>
      </w:r>
      <w:r>
        <w:rPr>
          <w:b/>
          <w:i w:val="0"/>
          <w:smallCaps w:val="0"/>
          <w:strike w:val="0"/>
          <w:sz w:val="26"/>
          <w:u w:val="none"/>
        </w:rPr>
        <w:t xml:space="preserve">and </w:t>
      </w:r>
      <w:r>
        <w:rPr>
          <w:b/>
          <w:i w:val="0"/>
          <w:smallCaps w:val="0"/>
          <w:strike w:val="0"/>
          <w:sz w:val="26"/>
          <w:u w:val="none"/>
        </w:rPr>
        <w:t>extending the period of protection.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Huang 17</w:t>
      </w:r>
      <w:r>
        <w:rPr>
          <w:b w:val="0"/>
          <w:i w:val="0"/>
          <w:smallCaps w:val="0"/>
          <w:strike w:val="0"/>
          <w:u w:val="none"/>
        </w:rPr>
        <w:t xml:space="preserve"> – </w:t>
      </w:r>
      <w:r>
        <w:rPr>
          <w:b w:val="0"/>
          <w:i w:val="0"/>
          <w:smallCaps w:val="0"/>
          <w:strike w:val="0"/>
          <w:u w:val="none"/>
        </w:rPr>
        <w:t>Institute for Intellectual Property Management, School of Management, Zhejiang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Can Huang, “Recent Development of the Intellectual Property Rights System in China and Challenges Ahead,” </w:t>
      </w:r>
      <w:r>
        <w:rPr>
          <w:b w:val="0"/>
          <w:i/>
          <w:smallCaps w:val="0"/>
          <w:strike w:val="0"/>
          <w:u w:val="none"/>
        </w:rPr>
        <w:t>Management and Organization Review</w:t>
      </w:r>
      <w:r>
        <w:rPr>
          <w:b w:val="0"/>
          <w:i w:val="0"/>
          <w:smallCaps w:val="0"/>
          <w:strike w:val="0"/>
          <w:u w:val="none"/>
        </w:rPr>
        <w:t xml:space="preserve">, vol. 13, no. 1, March 2017, </w:t>
      </w:r>
      <w:r>
        <w:rPr>
          <w:b w:val="0"/>
          <w:i w:val="0"/>
          <w:smallCaps w:val="0"/>
          <w:strike w:val="0"/>
          <w:u w:val="none"/>
        </w:rPr>
        <w:t>pp. 42</w:t>
      </w:r>
      <w:r>
        <w:rPr>
          <w:b w:val="0"/>
          <w:i w:val="0"/>
          <w:smallCaps w:val="0"/>
          <w:strike w:val="0"/>
          <w:u w:val="none"/>
        </w:rPr>
        <w:t>, https://www.cambridge.org/core/services/aop-cambridge-core/content/view/B4D5848771D2D89A2A8A0620E75B2763/S174087761700002Xa.pdf/div-class-title-recent-development-of-the-intellectual-property-rights-system-in-china-and-challenges-ahead-div.pdf.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