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“Strengthening” must be a </w:t>
      </w:r>
      <w:r>
        <w:rPr>
          <w:b/>
          <w:i w:val="0"/>
          <w:smallCaps w:val="0"/>
          <w:strike w:val="0"/>
          <w:sz w:val="26"/>
          <w:u w:val="single"/>
        </w:rPr>
        <w:t>net effect</w:t>
      </w:r>
      <w:r>
        <w:rPr>
          <w:b/>
          <w:i w:val="0"/>
          <w:smallCaps w:val="0"/>
          <w:strike w:val="0"/>
          <w:sz w:val="26"/>
          <w:u w:val="none"/>
        </w:rPr>
        <w:t xml:space="preserve"> and must affect an IP </w:t>
      </w:r>
      <w:r>
        <w:rPr>
          <w:b/>
          <w:i w:val="0"/>
          <w:smallCaps w:val="0"/>
          <w:strike w:val="0"/>
          <w:sz w:val="26"/>
          <w:u w:val="single"/>
        </w:rPr>
        <w:t>owner</w:t>
      </w:r>
      <w:r>
        <w:rPr>
          <w:b/>
          <w:i w:val="0"/>
          <w:smallCaps w:val="0"/>
          <w:strike w:val="0"/>
          <w:sz w:val="26"/>
          <w:u w:val="none"/>
        </w:rPr>
        <w:t xml:space="preserve">. Decisions that affect </w:t>
      </w:r>
      <w:r>
        <w:rPr>
          <w:b/>
          <w:i w:val="0"/>
          <w:smallCaps w:val="0"/>
          <w:strike w:val="0"/>
          <w:sz w:val="26"/>
          <w:u w:val="single"/>
        </w:rPr>
        <w:t>both</w:t>
      </w:r>
      <w:r>
        <w:rPr>
          <w:b/>
          <w:i w:val="0"/>
          <w:smallCaps w:val="0"/>
          <w:strike w:val="0"/>
          <w:sz w:val="26"/>
          <w:u w:val="none"/>
        </w:rPr>
        <w:t xml:space="preserve"> IP owners and opposing parties in </w:t>
      </w:r>
      <w:r>
        <w:rPr>
          <w:b/>
          <w:i w:val="0"/>
          <w:smallCaps w:val="0"/>
          <w:strike w:val="0"/>
          <w:sz w:val="26"/>
          <w:u w:val="single"/>
        </w:rPr>
        <w:t>equal amounts</w:t>
      </w:r>
      <w:r>
        <w:rPr>
          <w:b/>
          <w:i w:val="0"/>
          <w:smallCaps w:val="0"/>
          <w:strike w:val="0"/>
          <w:sz w:val="26"/>
          <w:u w:val="none"/>
        </w:rPr>
        <w:t xml:space="preserve"> or </w:t>
      </w:r>
      <w:r>
        <w:rPr>
          <w:b/>
          <w:i w:val="0"/>
          <w:smallCaps w:val="0"/>
          <w:strike w:val="0"/>
          <w:sz w:val="26"/>
          <w:u w:val="single"/>
        </w:rPr>
        <w:t>merely</w:t>
      </w:r>
      <w:r>
        <w:rPr>
          <w:b/>
          <w:i w:val="0"/>
          <w:smallCaps w:val="0"/>
          <w:strike w:val="0"/>
          <w:sz w:val="26"/>
          <w:u w:val="none"/>
        </w:rPr>
        <w:t xml:space="preserve"> regulate ownership among </w:t>
      </w:r>
      <w:r>
        <w:rPr>
          <w:b/>
          <w:i w:val="0"/>
          <w:smallCaps w:val="0"/>
          <w:strike w:val="0"/>
          <w:sz w:val="26"/>
          <w:u w:val="single"/>
        </w:rPr>
        <w:t>competing claimants</w:t>
      </w:r>
      <w:r>
        <w:rPr>
          <w:b/>
          <w:i w:val="0"/>
          <w:smallCaps w:val="0"/>
          <w:strike w:val="0"/>
          <w:sz w:val="26"/>
          <w:u w:val="none"/>
        </w:rPr>
        <w:t xml:space="preserve"> don’t </w:t>
      </w:r>
      <w:r>
        <w:rPr>
          <w:b/>
          <w:i w:val="0"/>
          <w:smallCaps w:val="0"/>
          <w:strike w:val="0"/>
          <w:sz w:val="26"/>
          <w:u w:val="single"/>
        </w:rPr>
        <w:t>strengthen</w:t>
      </w:r>
      <w:r>
        <w:rPr>
          <w:b/>
          <w:i w:val="0"/>
          <w:smallCaps w:val="0"/>
          <w:strike w:val="0"/>
          <w:sz w:val="26"/>
          <w:u w:val="none"/>
        </w:rPr>
        <w:t>.</w:t>
      </w:r>
    </w:p>
    <w:p>
      <w:pPr>
        <w:spacing w:after="80"/>
      </w:pPr>
      <w:r>
        <w:rPr>
          <w:b/>
          <w:i w:val="0"/>
          <w:smallCaps w:val="0"/>
          <w:strike w:val="0"/>
          <w:sz w:val="26"/>
          <w:u w:val="none"/>
        </w:rPr>
        <w:t>Mandel 17</w:t>
      </w:r>
      <w:r>
        <w:rPr>
          <w:b w:val="0"/>
          <w:i w:val="0"/>
          <w:smallCaps w:val="0"/>
          <w:strike w:val="0"/>
          <w:u w:val="none"/>
        </w:rPr>
        <w:t xml:space="preserve"> – Dean &amp; Peter J. Liacouras Professor of Law, Temple University.</w:t>
      </w:r>
    </w:p>
    <w:p>
      <w:pPr>
        <w:spacing w:after="60"/>
      </w:pPr>
      <w:r>
        <w:rPr>
          <w:b w:val="0"/>
          <w:i w:val="0"/>
          <w:smallCaps w:val="0"/>
          <w:strike w:val="0"/>
          <w:u w:val="none"/>
        </w:rPr>
        <w:t xml:space="preserve">Gregory N. Mandel, “Institutional Fracture in Intellectual Property Law: The Supreme Court Versus Congress,” </w:t>
      </w:r>
      <w:r>
        <w:rPr>
          <w:b w:val="0"/>
          <w:i/>
          <w:smallCaps w:val="0"/>
          <w:strike w:val="0"/>
          <w:u w:val="none"/>
        </w:rPr>
        <w:t>Minnesota Law Review</w:t>
      </w:r>
      <w:r>
        <w:rPr>
          <w:b w:val="0"/>
          <w:i w:val="0"/>
          <w:smallCaps w:val="0"/>
          <w:strike w:val="0"/>
          <w:u w:val="none"/>
        </w:rPr>
        <w:t>, vol. 102, 2017, pp. 809-810, https://www.minnesotalawreview.org/wp-content/uploads/2018/01/Mandel_MLR.pdf.</w:t>
      </w:r>
    </w:p>
    <w:p>
      <w:pPr>
        <w:spacing w:after="60"/>
      </w:pPr>
      <w:r>
        <w:rPr>
          <w:b w:val="0"/>
          <w:i w:val="0"/>
          <w:smallCaps w:val="0"/>
          <w:strike w:val="0"/>
          <w:sz w:val="16"/>
          <w:u w:val="none"/>
        </w:rPr>
        <w:t xml:space="preserve">The primary variable for analysis is whether a given Supreme Court decision or legislative action strengthened or weakened intellectual property protection. Consistent with prior research in this context, </w:t>
      </w:r>
      <w:r>
        <w:rPr>
          <w:b/>
          <w:i w:val="0"/>
          <w:smallCaps w:val="0"/>
          <w:strike w:val="0"/>
          <w:sz w:val="22"/>
          <w:u w:val="single"/>
        </w:rPr>
        <w:t>strengthened</w:t>
      </w:r>
      <w:r>
        <w:rPr>
          <w:b w:val="0"/>
          <w:i w:val="0"/>
          <w:smallCaps w:val="0"/>
          <w:strike w:val="0"/>
          <w:sz w:val="22"/>
          <w:u w:val="single"/>
        </w:rPr>
        <w:t xml:space="preserve"> versus </w:t>
      </w:r>
      <w:r>
        <w:rPr>
          <w:b/>
          <w:i w:val="0"/>
          <w:smallCaps w:val="0"/>
          <w:strike w:val="0"/>
          <w:sz w:val="22"/>
          <w:u w:val="single"/>
        </w:rPr>
        <w:t>weakened</w:t>
      </w:r>
      <w:r>
        <w:rPr>
          <w:b w:val="0"/>
          <w:i w:val="0"/>
          <w:smallCaps w:val="0"/>
          <w:strike w:val="0"/>
          <w:sz w:val="22"/>
          <w:u w:val="single"/>
        </w:rPr>
        <w:t xml:space="preserve"> refers to the </w:t>
      </w:r>
      <w:r>
        <w:rPr>
          <w:b/>
          <w:i w:val="0"/>
          <w:smallCaps w:val="0"/>
          <w:strike w:val="0"/>
          <w:sz w:val="22"/>
          <w:u w:val="single"/>
        </w:rPr>
        <w:t>extent of protection</w:t>
      </w:r>
      <w:r>
        <w:rPr>
          <w:b w:val="0"/>
          <w:i w:val="0"/>
          <w:smallCaps w:val="0"/>
          <w:strike w:val="0"/>
          <w:sz w:val="22"/>
          <w:u w:val="single"/>
        </w:rPr>
        <w:t xml:space="preserve"> afforded to the </w:t>
      </w:r>
      <w:r>
        <w:rPr>
          <w:b/>
          <w:i w:val="0"/>
          <w:smallCaps w:val="0"/>
          <w:strike w:val="0"/>
          <w:sz w:val="22"/>
          <w:u w:val="single"/>
        </w:rPr>
        <w:t>i</w:t>
      </w:r>
      <w:r>
        <w:rPr>
          <w:b w:val="0"/>
          <w:i w:val="0"/>
          <w:smallCaps w:val="0"/>
          <w:strike w:val="0"/>
          <w:sz w:val="22"/>
          <w:u w:val="single"/>
        </w:rPr>
        <w:t xml:space="preserve">ntellectual </w:t>
      </w:r>
      <w:r>
        <w:rPr>
          <w:b/>
          <w:i w:val="0"/>
          <w:smallCaps w:val="0"/>
          <w:strike w:val="0"/>
          <w:sz w:val="22"/>
          <w:u w:val="single"/>
        </w:rPr>
        <w:t>p</w:t>
      </w:r>
      <w:r>
        <w:rPr>
          <w:b w:val="0"/>
          <w:i w:val="0"/>
          <w:smallCaps w:val="0"/>
          <w:strike w:val="0"/>
          <w:sz w:val="22"/>
          <w:u w:val="single"/>
        </w:rPr>
        <w:t xml:space="preserve">roperty </w:t>
      </w:r>
      <w:r>
        <w:rPr>
          <w:b/>
          <w:i w:val="0"/>
          <w:smallCaps w:val="0"/>
          <w:strike w:val="0"/>
          <w:sz w:val="22"/>
          <w:u w:val="single"/>
        </w:rPr>
        <w:t>r</w:t>
      </w:r>
      <w:r>
        <w:rPr>
          <w:b w:val="0"/>
          <w:i w:val="0"/>
          <w:smallCaps w:val="0"/>
          <w:strike w:val="0"/>
          <w:sz w:val="22"/>
          <w:u w:val="single"/>
        </w:rPr>
        <w:t xml:space="preserve">ights </w:t>
      </w:r>
      <w:r>
        <w:rPr>
          <w:b/>
          <w:i w:val="0"/>
          <w:smallCaps w:val="0"/>
          <w:strike w:val="0"/>
          <w:sz w:val="22"/>
          <w:u w:val="single"/>
        </w:rPr>
        <w:t>owner</w:t>
      </w:r>
      <w:r>
        <w:rPr>
          <w:b w:val="0"/>
          <w:i w:val="0"/>
          <w:smallCaps w:val="0"/>
          <w:strike w:val="0"/>
          <w:sz w:val="16"/>
          <w:u w:val="none"/>
        </w:rPr>
        <w:t xml:space="preserve">.11 Accordingly, Supreme Court decisions that make it easier to acquire intellectual property rights; broaden the scope of intellectual property protection; make it easier to prove infringement; or strengthen remedies for infringement are all considered to strengthen intellectual property protection. Decisions that have the opposite effects weaken protection.12 </w:t>
      </w:r>
    </w:p>
    <w:p>
      <w:pPr>
        <w:spacing w:after="60"/>
      </w:pPr>
      <w:r>
        <w:rPr>
          <w:b w:val="0"/>
          <w:i w:val="0"/>
          <w:smallCaps w:val="0"/>
          <w:strike w:val="0"/>
          <w:sz w:val="16"/>
          <w:u w:val="none"/>
        </w:rPr>
        <w:t xml:space="preserve">[BEGIN FOOTNOTE 12] </w:t>
      </w:r>
      <w:r>
        <w:rPr>
          <w:b/>
          <w:i w:val="0"/>
          <w:smallCaps w:val="0"/>
          <w:strike w:val="0"/>
          <w:sz w:val="22"/>
          <w:u w:val="single"/>
        </w:rPr>
        <w:t>Consistent</w:t>
      </w:r>
      <w:r>
        <w:rPr>
          <w:b w:val="0"/>
          <w:i w:val="0"/>
          <w:smallCaps w:val="0"/>
          <w:strike w:val="0"/>
          <w:sz w:val="22"/>
          <w:u w:val="single"/>
        </w:rPr>
        <w:t xml:space="preserve"> with the </w:t>
      </w:r>
      <w:r>
        <w:rPr>
          <w:b/>
          <w:i w:val="0"/>
          <w:smallCaps w:val="0"/>
          <w:strike w:val="0"/>
          <w:sz w:val="22"/>
          <w:u w:val="single"/>
        </w:rPr>
        <w:t>standard approach</w:t>
      </w:r>
      <w:r>
        <w:rPr>
          <w:b w:val="0"/>
          <w:i w:val="0"/>
          <w:smallCaps w:val="0"/>
          <w:strike w:val="0"/>
          <w:sz w:val="16"/>
          <w:u w:val="none"/>
        </w:rPr>
        <w:t xml:space="preserve"> applied in analyzing the ideological direction of Supreme Court decisions, </w:t>
      </w:r>
      <w:r>
        <w:rPr>
          <w:b w:val="0"/>
          <w:i w:val="0"/>
          <w:smallCaps w:val="0"/>
          <w:strike w:val="0"/>
          <w:sz w:val="22"/>
          <w:u w:val="single"/>
        </w:rPr>
        <w:t xml:space="preserve">whether a given decision </w:t>
      </w:r>
      <w:r>
        <w:rPr>
          <w:b/>
          <w:i w:val="0"/>
          <w:smallCaps w:val="0"/>
          <w:strike w:val="0"/>
          <w:sz w:val="22"/>
          <w:u w:val="single"/>
        </w:rPr>
        <w:t>strengthened</w:t>
      </w:r>
      <w:r>
        <w:rPr>
          <w:b w:val="0"/>
          <w:i w:val="0"/>
          <w:smallCaps w:val="0"/>
          <w:strike w:val="0"/>
          <w:sz w:val="22"/>
          <w:u w:val="single"/>
        </w:rPr>
        <w:t xml:space="preserve"> or </w:t>
      </w:r>
      <w:r>
        <w:rPr>
          <w:b/>
          <w:i w:val="0"/>
          <w:smallCaps w:val="0"/>
          <w:strike w:val="0"/>
          <w:sz w:val="22"/>
          <w:u w:val="single"/>
        </w:rPr>
        <w:t>weakened</w:t>
      </w:r>
      <w:r>
        <w:rPr>
          <w:b w:val="0"/>
          <w:i w:val="0"/>
          <w:smallCaps w:val="0"/>
          <w:strike w:val="0"/>
          <w:sz w:val="22"/>
          <w:u w:val="single"/>
        </w:rPr>
        <w:t xml:space="preserve"> intellectual property rights was </w:t>
      </w:r>
      <w:r>
        <w:rPr>
          <w:b/>
          <w:i w:val="0"/>
          <w:smallCaps w:val="0"/>
          <w:strike w:val="0"/>
          <w:sz w:val="22"/>
          <w:u w:val="single"/>
        </w:rPr>
        <w:t>determined</w:t>
      </w:r>
      <w:r>
        <w:rPr>
          <w:b w:val="0"/>
          <w:i w:val="0"/>
          <w:smallCaps w:val="0"/>
          <w:strike w:val="0"/>
          <w:sz w:val="22"/>
          <w:u w:val="single"/>
        </w:rPr>
        <w:t xml:space="preserve"> based on the </w:t>
      </w:r>
      <w:r>
        <w:rPr>
          <w:b/>
          <w:i w:val="0"/>
          <w:smallCaps w:val="0"/>
          <w:strike w:val="0"/>
          <w:sz w:val="22"/>
          <w:u w:val="single"/>
        </w:rPr>
        <w:t>net effect</w:t>
      </w:r>
      <w:r>
        <w:rPr>
          <w:b w:val="0"/>
          <w:i w:val="0"/>
          <w:smallCaps w:val="0"/>
          <w:strike w:val="0"/>
          <w:sz w:val="22"/>
          <w:u w:val="single"/>
        </w:rPr>
        <w:t xml:space="preserve"> on intellectual property law with respect to the </w:t>
      </w:r>
      <w:r>
        <w:rPr>
          <w:b/>
          <w:i w:val="0"/>
          <w:smallCaps w:val="0"/>
          <w:strike w:val="0"/>
          <w:sz w:val="22"/>
          <w:u w:val="single"/>
        </w:rPr>
        <w:t>issue at hand</w:t>
      </w:r>
      <w:r>
        <w:rPr>
          <w:b w:val="0"/>
          <w:i w:val="0"/>
          <w:smallCaps w:val="0"/>
          <w:strike w:val="0"/>
          <w:sz w:val="16"/>
          <w:u w:val="none"/>
        </w:rPr>
        <w:t>, not based simply on whether there was a change from the status quo. See, e.g., Lee Epstein &amp; Andrew D. Martin, Does Public Opinion Influence the Supreme Court? Possibly Yes (But We’re Not Sure Why), 13 U. PA. J. CONST. L. 263, 272 (2010) (applying this methodology to code decisions as liberal versus conservative); Isaac Unah et al., U.S. Supreme Court Justices and Public Mood, 30 J.L. &amp; POL. 293, 307–10 (2015) (same); The Supreme Court Database, WASH. U. L. SCH., supremecourtdatabase.org (last visited Nov. 5, 2017) (same). Thus, Eldred v. Ashcroft, 537 U.S. 186 (2003), is coded as strengthening intellectual property rights because it upheld the Copyright Term Extension Act against a constitutional challenge. As the statutory name implies, the Copyright Term Extension Act extended owner ’s copyright terms. Though upholding the law effectively maintained the status quo, the Court’s decision on the issue before it favored greater protection. 13. 135 [END FOOTNOTE 12]</w:t>
      </w:r>
    </w:p>
    <w:p>
      <w:pPr>
        <w:spacing w:after="60"/>
      </w:pPr>
      <w:r>
        <w:rPr>
          <w:b w:val="0"/>
          <w:i w:val="0"/>
          <w:smallCaps w:val="0"/>
          <w:strike w:val="0"/>
          <w:sz w:val="22"/>
          <w:u w:val="single"/>
        </w:rPr>
        <w:t xml:space="preserve">A </w:t>
      </w:r>
      <w:r>
        <w:rPr>
          <w:b/>
          <w:i w:val="0"/>
          <w:smallCaps w:val="0"/>
          <w:strike w:val="0"/>
          <w:sz w:val="22"/>
          <w:u w:val="single"/>
        </w:rPr>
        <w:t>number</w:t>
      </w:r>
      <w:r>
        <w:rPr>
          <w:b w:val="0"/>
          <w:i w:val="0"/>
          <w:smallCaps w:val="0"/>
          <w:strike w:val="0"/>
          <w:sz w:val="22"/>
          <w:u w:val="single"/>
        </w:rPr>
        <w:t xml:space="preserve"> of the Supreme Court </w:t>
      </w:r>
      <w:r>
        <w:rPr>
          <w:b/>
          <w:i w:val="0"/>
          <w:smallCaps w:val="0"/>
          <w:strike w:val="0"/>
          <w:sz w:val="22"/>
          <w:u w:val="single"/>
        </w:rPr>
        <w:t>decisions</w:t>
      </w:r>
      <w:r>
        <w:rPr>
          <w:b w:val="0"/>
          <w:i w:val="0"/>
          <w:smallCaps w:val="0"/>
          <w:strike w:val="0"/>
          <w:sz w:val="22"/>
          <w:u w:val="single"/>
        </w:rPr>
        <w:t xml:space="preserve"> are </w:t>
      </w:r>
      <w:r>
        <w:rPr>
          <w:b/>
          <w:i w:val="0"/>
          <w:smallCaps w:val="0"/>
          <w:strike w:val="0"/>
          <w:sz w:val="22"/>
          <w:u w:val="single"/>
        </w:rPr>
        <w:t>neutral</w:t>
      </w:r>
      <w:r>
        <w:rPr>
          <w:b w:val="0"/>
          <w:i w:val="0"/>
          <w:smallCaps w:val="0"/>
          <w:strike w:val="0"/>
          <w:sz w:val="22"/>
          <w:u w:val="single"/>
        </w:rPr>
        <w:t xml:space="preserve"> in this regard. </w:t>
      </w:r>
      <w:r>
        <w:rPr>
          <w:b/>
          <w:i w:val="0"/>
          <w:smallCaps w:val="0"/>
          <w:strike w:val="0"/>
          <w:sz w:val="22"/>
          <w:u w:val="single"/>
        </w:rPr>
        <w:t>Neutral coding</w:t>
      </w:r>
      <w:r>
        <w:rPr>
          <w:b w:val="0"/>
          <w:i w:val="0"/>
          <w:smallCaps w:val="0"/>
          <w:strike w:val="0"/>
          <w:sz w:val="22"/>
          <w:u w:val="single"/>
        </w:rPr>
        <w:t xml:space="preserve"> can occur for </w:t>
      </w:r>
      <w:r>
        <w:rPr>
          <w:b/>
          <w:i w:val="0"/>
          <w:smallCaps w:val="0"/>
          <w:strike w:val="0"/>
          <w:sz w:val="22"/>
          <w:u w:val="single"/>
        </w:rPr>
        <w:t>multiple reasons</w:t>
      </w:r>
      <w:r>
        <w:rPr>
          <w:b w:val="0"/>
          <w:i w:val="0"/>
          <w:smallCaps w:val="0"/>
          <w:strike w:val="0"/>
          <w:sz w:val="22"/>
          <w:u w:val="single"/>
        </w:rPr>
        <w:t xml:space="preserve">, such as </w:t>
      </w:r>
      <w:r>
        <w:rPr>
          <w:b/>
          <w:i w:val="0"/>
          <w:smallCaps w:val="0"/>
          <w:strike w:val="0"/>
          <w:sz w:val="22"/>
          <w:u w:val="single"/>
        </w:rPr>
        <w:t>procedural decisions</w:t>
      </w:r>
      <w:r>
        <w:rPr>
          <w:b w:val="0"/>
          <w:i w:val="0"/>
          <w:smallCaps w:val="0"/>
          <w:strike w:val="0"/>
          <w:sz w:val="22"/>
          <w:u w:val="single"/>
        </w:rPr>
        <w:t xml:space="preserve"> that affect </w:t>
      </w:r>
      <w:r>
        <w:rPr>
          <w:b/>
          <w:i w:val="0"/>
          <w:smallCaps w:val="0"/>
          <w:strike w:val="0"/>
          <w:sz w:val="22"/>
          <w:u w:val="single"/>
        </w:rPr>
        <w:t>both</w:t>
      </w:r>
      <w:r>
        <w:rPr>
          <w:b w:val="0"/>
          <w:i w:val="0"/>
          <w:smallCaps w:val="0"/>
          <w:strike w:val="0"/>
          <w:sz w:val="22"/>
          <w:u w:val="single"/>
        </w:rPr>
        <w:t xml:space="preserve"> </w:t>
      </w:r>
      <w:r>
        <w:rPr>
          <w:b/>
          <w:i w:val="0"/>
          <w:smallCaps w:val="0"/>
          <w:strike w:val="0"/>
          <w:sz w:val="22"/>
          <w:u w:val="single"/>
        </w:rPr>
        <w:t>i</w:t>
      </w:r>
      <w:r>
        <w:rPr>
          <w:b w:val="0"/>
          <w:i w:val="0"/>
          <w:smallCaps w:val="0"/>
          <w:strike w:val="0"/>
          <w:sz w:val="22"/>
          <w:u w:val="single"/>
        </w:rPr>
        <w:t xml:space="preserve">ntellectual </w:t>
      </w:r>
      <w:r>
        <w:rPr>
          <w:b/>
          <w:i w:val="0"/>
          <w:smallCaps w:val="0"/>
          <w:strike w:val="0"/>
          <w:sz w:val="22"/>
          <w:u w:val="single"/>
        </w:rPr>
        <w:t>p</w:t>
      </w:r>
      <w:r>
        <w:rPr>
          <w:b w:val="0"/>
          <w:i w:val="0"/>
          <w:smallCaps w:val="0"/>
          <w:strike w:val="0"/>
          <w:sz w:val="22"/>
          <w:u w:val="single"/>
        </w:rPr>
        <w:t xml:space="preserve">roperty </w:t>
      </w:r>
      <w:r>
        <w:rPr>
          <w:b/>
          <w:i w:val="0"/>
          <w:smallCaps w:val="0"/>
          <w:strike w:val="0"/>
          <w:sz w:val="22"/>
          <w:u w:val="single"/>
        </w:rPr>
        <w:t>owners</w:t>
      </w:r>
      <w:r>
        <w:rPr>
          <w:b w:val="0"/>
          <w:i w:val="0"/>
          <w:smallCaps w:val="0"/>
          <w:strike w:val="0"/>
          <w:sz w:val="22"/>
          <w:u w:val="single"/>
        </w:rPr>
        <w:t xml:space="preserve"> and </w:t>
      </w:r>
      <w:r>
        <w:rPr>
          <w:b/>
          <w:i w:val="0"/>
          <w:smallCaps w:val="0"/>
          <w:strike w:val="0"/>
          <w:sz w:val="22"/>
          <w:u w:val="single"/>
        </w:rPr>
        <w:t>opposing parties</w:t>
      </w:r>
      <w:r>
        <w:rPr>
          <w:b w:val="0"/>
          <w:i w:val="0"/>
          <w:smallCaps w:val="0"/>
          <w:strike w:val="0"/>
          <w:sz w:val="22"/>
          <w:u w:val="single"/>
        </w:rPr>
        <w:t xml:space="preserve"> in </w:t>
      </w:r>
      <w:r>
        <w:rPr>
          <w:b/>
          <w:i w:val="0"/>
          <w:smallCaps w:val="0"/>
          <w:strike w:val="0"/>
          <w:sz w:val="22"/>
          <w:u w:val="single"/>
        </w:rPr>
        <w:t>equivalent manners</w:t>
      </w:r>
      <w:r>
        <w:rPr>
          <w:b w:val="0"/>
          <w:i w:val="0"/>
          <w:smallCaps w:val="0"/>
          <w:strike w:val="0"/>
          <w:sz w:val="22"/>
          <w:u w:val="single"/>
        </w:rPr>
        <w:t xml:space="preserve">, or decisions that </w:t>
      </w:r>
      <w:r>
        <w:rPr>
          <w:b/>
          <w:i w:val="0"/>
          <w:smallCaps w:val="0"/>
          <w:strike w:val="0"/>
          <w:sz w:val="22"/>
          <w:u w:val="single"/>
        </w:rPr>
        <w:t>regulate ownership</w:t>
      </w:r>
      <w:r>
        <w:rPr>
          <w:b w:val="0"/>
          <w:i w:val="0"/>
          <w:smallCaps w:val="0"/>
          <w:strike w:val="0"/>
          <w:sz w:val="22"/>
          <w:u w:val="single"/>
        </w:rPr>
        <w:t xml:space="preserve"> among </w:t>
      </w:r>
      <w:r>
        <w:rPr>
          <w:b/>
          <w:i w:val="0"/>
          <w:smallCaps w:val="0"/>
          <w:strike w:val="0"/>
          <w:sz w:val="22"/>
          <w:u w:val="single"/>
        </w:rPr>
        <w:t>competing claimants</w:t>
      </w:r>
      <w:r>
        <w:rPr>
          <w:b w:val="0"/>
          <w:i w:val="0"/>
          <w:smallCaps w:val="0"/>
          <w:strike w:val="0"/>
          <w:sz w:val="16"/>
          <w:u w:val="none"/>
        </w:rPr>
        <w:t xml:space="preserve">. </w:t>
      </w:r>
      <w:r>
        <w:rPr>
          <w:b w:val="0"/>
          <w:i w:val="0"/>
          <w:smallCaps w:val="0"/>
          <w:strike w:val="0"/>
          <w:sz w:val="22"/>
          <w:u w:val="single"/>
        </w:rPr>
        <w:t xml:space="preserve">An </w:t>
      </w:r>
      <w:r>
        <w:rPr>
          <w:b/>
          <w:i w:val="0"/>
          <w:smallCaps w:val="0"/>
          <w:strike w:val="0"/>
          <w:sz w:val="22"/>
          <w:u w:val="single"/>
        </w:rPr>
        <w:t>example</w:t>
      </w:r>
      <w:r>
        <w:rPr>
          <w:b w:val="0"/>
          <w:i w:val="0"/>
          <w:smallCaps w:val="0"/>
          <w:strike w:val="0"/>
          <w:sz w:val="16"/>
          <w:u w:val="none"/>
        </w:rPr>
        <w:t xml:space="preserve"> of the former type of neutral decision </w:t>
      </w:r>
      <w:r>
        <w:rPr>
          <w:b w:val="0"/>
          <w:i w:val="0"/>
          <w:smallCaps w:val="0"/>
          <w:strike w:val="0"/>
          <w:sz w:val="22"/>
          <w:u w:val="single"/>
        </w:rPr>
        <w:t xml:space="preserve">is </w:t>
      </w:r>
      <w:r>
        <w:rPr>
          <w:b/>
          <w:i w:val="0"/>
          <w:smallCaps w:val="0"/>
          <w:strike w:val="0"/>
          <w:sz w:val="22"/>
          <w:u w:val="single"/>
        </w:rPr>
        <w:t>Teva Pharmaceuticals</w:t>
      </w:r>
      <w:r>
        <w:rPr>
          <w:b w:val="0"/>
          <w:i w:val="0"/>
          <w:smallCaps w:val="0"/>
          <w:strike w:val="0"/>
          <w:sz w:val="22"/>
          <w:u w:val="single"/>
        </w:rPr>
        <w:t xml:space="preserve"> USA, Inc. v. Sandoz, Inc.</w:t>
      </w:r>
      <w:r>
        <w:rPr>
          <w:b w:val="0"/>
          <w:i w:val="0"/>
          <w:smallCaps w:val="0"/>
          <w:strike w:val="0"/>
          <w:sz w:val="16"/>
          <w:u w:val="none"/>
        </w:rPr>
        <w:t xml:space="preserve">13 </w:t>
      </w:r>
      <w:r>
        <w:rPr>
          <w:b w:val="0"/>
          <w:i w:val="0"/>
          <w:smallCaps w:val="0"/>
          <w:strike w:val="0"/>
          <w:sz w:val="22"/>
          <w:u w:val="single"/>
        </w:rPr>
        <w:t xml:space="preserve">This case </w:t>
      </w:r>
      <w:r>
        <w:rPr>
          <w:b/>
          <w:i w:val="0"/>
          <w:smallCaps w:val="0"/>
          <w:strike w:val="0"/>
          <w:sz w:val="22"/>
          <w:u w:val="single"/>
        </w:rPr>
        <w:t>clarified</w:t>
      </w:r>
      <w:r>
        <w:rPr>
          <w:b w:val="0"/>
          <w:i w:val="0"/>
          <w:smallCaps w:val="0"/>
          <w:strike w:val="0"/>
          <w:sz w:val="22"/>
          <w:u w:val="single"/>
        </w:rPr>
        <w:t xml:space="preserve"> the </w:t>
      </w:r>
      <w:r>
        <w:rPr>
          <w:b/>
          <w:i w:val="0"/>
          <w:smallCaps w:val="0"/>
          <w:strike w:val="0"/>
          <w:sz w:val="22"/>
          <w:u w:val="single"/>
        </w:rPr>
        <w:t>proper standard</w:t>
      </w:r>
      <w:r>
        <w:rPr>
          <w:b w:val="0"/>
          <w:i w:val="0"/>
          <w:smallCaps w:val="0"/>
          <w:strike w:val="0"/>
          <w:sz w:val="22"/>
          <w:u w:val="single"/>
        </w:rPr>
        <w:t xml:space="preserve"> of </w:t>
      </w:r>
      <w:r>
        <w:rPr>
          <w:b/>
          <w:i w:val="0"/>
          <w:smallCaps w:val="0"/>
          <w:strike w:val="0"/>
          <w:sz w:val="22"/>
          <w:u w:val="single"/>
        </w:rPr>
        <w:t>appellate review</w:t>
      </w:r>
      <w:r>
        <w:rPr>
          <w:b w:val="0"/>
          <w:i w:val="0"/>
          <w:smallCaps w:val="0"/>
          <w:strike w:val="0"/>
          <w:sz w:val="22"/>
          <w:u w:val="single"/>
        </w:rPr>
        <w:t xml:space="preserve"> for a district court’s factual findings made in patent claim construction</w:t>
      </w:r>
      <w:r>
        <w:rPr>
          <w:b w:val="0"/>
          <w:i w:val="0"/>
          <w:smallCaps w:val="0"/>
          <w:strike w:val="0"/>
          <w:sz w:val="16"/>
          <w:u w:val="none"/>
        </w:rPr>
        <w:t xml:space="preserve">.14 </w:t>
      </w:r>
      <w:r>
        <w:rPr>
          <w:b w:val="0"/>
          <w:i w:val="0"/>
          <w:smallCaps w:val="0"/>
          <w:strike w:val="0"/>
          <w:sz w:val="22"/>
          <w:u w:val="single"/>
        </w:rPr>
        <w:t>The Court held that the standard of review is clear error</w:t>
      </w:r>
      <w:r>
        <w:rPr>
          <w:b w:val="0"/>
          <w:i w:val="0"/>
          <w:smallCaps w:val="0"/>
          <w:strike w:val="0"/>
          <w:sz w:val="16"/>
          <w:u w:val="none"/>
        </w:rPr>
        <w:t xml:space="preserve">,15 </w:t>
      </w:r>
      <w:r>
        <w:rPr>
          <w:b w:val="0"/>
          <w:i w:val="0"/>
          <w:smallCaps w:val="0"/>
          <w:strike w:val="0"/>
          <w:sz w:val="22"/>
          <w:u w:val="single"/>
        </w:rPr>
        <w:t xml:space="preserve">a decision that </w:t>
      </w:r>
      <w:r>
        <w:rPr>
          <w:b/>
          <w:i w:val="0"/>
          <w:smallCaps w:val="0"/>
          <w:strike w:val="0"/>
          <w:sz w:val="22"/>
          <w:u w:val="single"/>
        </w:rPr>
        <w:t>neither strengthened nor weakened</w:t>
      </w:r>
      <w:r>
        <w:rPr>
          <w:b w:val="0"/>
          <w:i w:val="0"/>
          <w:smallCaps w:val="0"/>
          <w:strike w:val="0"/>
          <w:sz w:val="22"/>
          <w:u w:val="single"/>
        </w:rPr>
        <w:t xml:space="preserve"> intellectual property owner rights because </w:t>
      </w:r>
      <w:r>
        <w:rPr>
          <w:b/>
          <w:i w:val="0"/>
          <w:smallCaps w:val="0"/>
          <w:strike w:val="0"/>
          <w:sz w:val="22"/>
          <w:u w:val="single"/>
        </w:rPr>
        <w:t>sometimes</w:t>
      </w:r>
      <w:r>
        <w:rPr>
          <w:b w:val="0"/>
          <w:i w:val="0"/>
          <w:smallCaps w:val="0"/>
          <w:strike w:val="0"/>
          <w:sz w:val="22"/>
          <w:u w:val="single"/>
        </w:rPr>
        <w:t xml:space="preserve"> district courts construe patent claims in </w:t>
      </w:r>
      <w:r>
        <w:rPr>
          <w:b/>
          <w:i w:val="0"/>
          <w:smallCaps w:val="0"/>
          <w:strike w:val="0"/>
          <w:sz w:val="22"/>
          <w:u w:val="single"/>
        </w:rPr>
        <w:t>favor</w:t>
      </w:r>
      <w:r>
        <w:rPr>
          <w:b w:val="0"/>
          <w:i w:val="0"/>
          <w:smallCaps w:val="0"/>
          <w:strike w:val="0"/>
          <w:sz w:val="22"/>
          <w:u w:val="single"/>
        </w:rPr>
        <w:t xml:space="preserve"> of </w:t>
      </w:r>
      <w:r>
        <w:rPr>
          <w:b/>
          <w:i w:val="0"/>
          <w:smallCaps w:val="0"/>
          <w:strike w:val="0"/>
          <w:sz w:val="22"/>
          <w:u w:val="single"/>
        </w:rPr>
        <w:t>patentees</w:t>
      </w:r>
      <w:r>
        <w:rPr>
          <w:b w:val="0"/>
          <w:i w:val="0"/>
          <w:smallCaps w:val="0"/>
          <w:strike w:val="0"/>
          <w:sz w:val="22"/>
          <w:u w:val="single"/>
        </w:rPr>
        <w:t xml:space="preserve"> and </w:t>
      </w:r>
      <w:r>
        <w:rPr>
          <w:b/>
          <w:i w:val="0"/>
          <w:smallCaps w:val="0"/>
          <w:strike w:val="0"/>
          <w:sz w:val="22"/>
          <w:u w:val="single"/>
        </w:rPr>
        <w:t>other times</w:t>
      </w:r>
      <w:r>
        <w:rPr>
          <w:b w:val="0"/>
          <w:i w:val="0"/>
          <w:smallCaps w:val="0"/>
          <w:strike w:val="0"/>
          <w:sz w:val="22"/>
          <w:u w:val="single"/>
        </w:rPr>
        <w:t xml:space="preserve"> in </w:t>
      </w:r>
      <w:r>
        <w:rPr>
          <w:b/>
          <w:i w:val="0"/>
          <w:smallCaps w:val="0"/>
          <w:strike w:val="0"/>
          <w:sz w:val="22"/>
          <w:u w:val="single"/>
        </w:rPr>
        <w:t>favor</w:t>
      </w:r>
      <w:r>
        <w:rPr>
          <w:b w:val="0"/>
          <w:i w:val="0"/>
          <w:smallCaps w:val="0"/>
          <w:strike w:val="0"/>
          <w:sz w:val="22"/>
          <w:u w:val="single"/>
        </w:rPr>
        <w:t xml:space="preserve"> of </w:t>
      </w:r>
      <w:r>
        <w:rPr>
          <w:b/>
          <w:i w:val="0"/>
          <w:smallCaps w:val="0"/>
          <w:strike w:val="0"/>
          <w:sz w:val="22"/>
          <w:u w:val="single"/>
        </w:rPr>
        <w:t>alleged infringers</w:t>
      </w:r>
      <w:r>
        <w:rPr>
          <w:b w:val="0"/>
          <w:i w:val="0"/>
          <w:smallCaps w:val="0"/>
          <w:strike w:val="0"/>
          <w:sz w:val="22"/>
          <w:u w:val="single"/>
        </w:rPr>
        <w:t>.</w:t>
      </w:r>
      <w:r>
        <w:rPr>
          <w:b w:val="0"/>
          <w:i w:val="0"/>
          <w:smallCaps w:val="0"/>
          <w:strike w:val="0"/>
          <w:sz w:val="16"/>
          <w:u w:val="none"/>
        </w:rPr>
        <w:t>16</w:t>
      </w:r>
    </w:p>
    <w:p>
      <w:pPr>
        <w:spacing w:after="60"/>
      </w:pPr>
      <w:r>
        <w:rPr>
          <w:b w:val="0"/>
          <w:i w:val="0"/>
          <w:smallCaps w:val="0"/>
          <w:strike w:val="0"/>
          <w:sz w:val="16"/>
          <w:u w:val="none"/>
        </w:rPr>
        <w:t xml:space="preserve">[BEGIN FOOTNOTE 16] </w:t>
      </w:r>
      <w:r>
        <w:rPr>
          <w:b w:val="0"/>
          <w:i w:val="0"/>
          <w:smallCaps w:val="0"/>
          <w:strike w:val="0"/>
          <w:sz w:val="22"/>
          <w:u w:val="single"/>
        </w:rPr>
        <w:t xml:space="preserve">In a </w:t>
      </w:r>
      <w:r>
        <w:rPr>
          <w:b/>
          <w:i w:val="0"/>
          <w:smallCaps w:val="0"/>
          <w:strike w:val="0"/>
          <w:sz w:val="22"/>
          <w:u w:val="single"/>
        </w:rPr>
        <w:t>similar vein</w:t>
      </w:r>
      <w:r>
        <w:rPr>
          <w:b w:val="0"/>
          <w:i w:val="0"/>
          <w:smallCaps w:val="0"/>
          <w:strike w:val="0"/>
          <w:sz w:val="22"/>
          <w:u w:val="single"/>
        </w:rPr>
        <w:t xml:space="preserve">, </w:t>
      </w:r>
      <w:r>
        <w:rPr>
          <w:b/>
          <w:i w:val="0"/>
          <w:smallCaps w:val="0"/>
          <w:strike w:val="0"/>
          <w:sz w:val="22"/>
          <w:u w:val="single"/>
        </w:rPr>
        <w:t>Board of Trustees</w:t>
      </w:r>
      <w:r>
        <w:rPr>
          <w:b w:val="0"/>
          <w:i w:val="0"/>
          <w:smallCaps w:val="0"/>
          <w:strike w:val="0"/>
          <w:sz w:val="22"/>
          <w:u w:val="single"/>
        </w:rPr>
        <w:t xml:space="preserve"> of the Leland Stanford Junior University v. Roche Molecular Systems, Inc. concerned whether an </w:t>
      </w:r>
      <w:r>
        <w:rPr>
          <w:b/>
          <w:i w:val="0"/>
          <w:smallCaps w:val="0"/>
          <w:strike w:val="0"/>
          <w:sz w:val="22"/>
          <w:u w:val="single"/>
        </w:rPr>
        <w:t>employee</w:t>
      </w:r>
      <w:r>
        <w:rPr>
          <w:b w:val="0"/>
          <w:i w:val="0"/>
          <w:smallCaps w:val="0"/>
          <w:strike w:val="0"/>
          <w:sz w:val="22"/>
          <w:u w:val="single"/>
        </w:rPr>
        <w:t xml:space="preserve"> of a </w:t>
      </w:r>
      <w:r>
        <w:rPr>
          <w:b/>
          <w:i w:val="0"/>
          <w:smallCaps w:val="0"/>
          <w:strike w:val="0"/>
          <w:sz w:val="22"/>
          <w:u w:val="single"/>
        </w:rPr>
        <w:t>university</w:t>
      </w:r>
      <w:r>
        <w:rPr>
          <w:b w:val="0"/>
          <w:i w:val="0"/>
          <w:smallCaps w:val="0"/>
          <w:strike w:val="0"/>
          <w:sz w:val="22"/>
          <w:u w:val="single"/>
        </w:rPr>
        <w:t xml:space="preserve"> receiving government funding could </w:t>
      </w:r>
      <w:r>
        <w:rPr>
          <w:b/>
          <w:i w:val="0"/>
          <w:smallCaps w:val="0"/>
          <w:strike w:val="0"/>
          <w:sz w:val="22"/>
          <w:u w:val="single"/>
        </w:rPr>
        <w:t>assign</w:t>
      </w:r>
      <w:r>
        <w:rPr>
          <w:b w:val="0"/>
          <w:i w:val="0"/>
          <w:smallCaps w:val="0"/>
          <w:strike w:val="0"/>
          <w:sz w:val="22"/>
          <w:u w:val="single"/>
        </w:rPr>
        <w:t xml:space="preserve"> the </w:t>
      </w:r>
      <w:r>
        <w:rPr>
          <w:b/>
          <w:i w:val="0"/>
          <w:smallCaps w:val="0"/>
          <w:strike w:val="0"/>
          <w:sz w:val="22"/>
          <w:u w:val="single"/>
        </w:rPr>
        <w:t>rights</w:t>
      </w:r>
      <w:r>
        <w:rPr>
          <w:b w:val="0"/>
          <w:i w:val="0"/>
          <w:smallCaps w:val="0"/>
          <w:strike w:val="0"/>
          <w:sz w:val="22"/>
          <w:u w:val="single"/>
        </w:rPr>
        <w:t xml:space="preserve"> in an invention to a </w:t>
      </w:r>
      <w:r>
        <w:rPr>
          <w:b/>
          <w:i w:val="0"/>
          <w:smallCaps w:val="0"/>
          <w:strike w:val="0"/>
          <w:sz w:val="22"/>
          <w:u w:val="single"/>
        </w:rPr>
        <w:t>third party</w:t>
      </w:r>
      <w:r>
        <w:rPr>
          <w:b w:val="0"/>
          <w:i w:val="0"/>
          <w:smallCaps w:val="0"/>
          <w:strike w:val="0"/>
          <w:sz w:val="22"/>
          <w:u w:val="single"/>
        </w:rPr>
        <w:t xml:space="preserve"> without the university’s consent</w:t>
      </w:r>
      <w:r>
        <w:rPr>
          <w:b w:val="0"/>
          <w:i w:val="0"/>
          <w:smallCaps w:val="0"/>
          <w:strike w:val="0"/>
          <w:sz w:val="16"/>
          <w:u w:val="none"/>
        </w:rPr>
        <w:t xml:space="preserve">. 563 U.S. 776, 776–79 (2011). </w:t>
      </w:r>
      <w:r>
        <w:rPr>
          <w:b/>
          <w:i w:val="0"/>
          <w:smallCaps w:val="0"/>
          <w:strike w:val="0"/>
          <w:sz w:val="22"/>
          <w:u w:val="single"/>
        </w:rPr>
        <w:t>Whether</w:t>
      </w:r>
      <w:r>
        <w:rPr>
          <w:b w:val="0"/>
          <w:i w:val="0"/>
          <w:smallCaps w:val="0"/>
          <w:strike w:val="0"/>
          <w:sz w:val="22"/>
          <w:u w:val="single"/>
        </w:rPr>
        <w:t xml:space="preserve"> the </w:t>
      </w:r>
      <w:r>
        <w:rPr>
          <w:b/>
          <w:i w:val="0"/>
          <w:smallCaps w:val="0"/>
          <w:strike w:val="0"/>
          <w:sz w:val="22"/>
          <w:u w:val="single"/>
        </w:rPr>
        <w:t>employee</w:t>
      </w:r>
      <w:r>
        <w:rPr>
          <w:b w:val="0"/>
          <w:i w:val="0"/>
          <w:smallCaps w:val="0"/>
          <w:strike w:val="0"/>
          <w:sz w:val="22"/>
          <w:u w:val="single"/>
        </w:rPr>
        <w:t xml:space="preserve"> or the </w:t>
      </w:r>
      <w:r>
        <w:rPr>
          <w:b/>
          <w:i w:val="0"/>
          <w:smallCaps w:val="0"/>
          <w:strike w:val="0"/>
          <w:sz w:val="22"/>
          <w:u w:val="single"/>
        </w:rPr>
        <w:t>university prevailed</w:t>
      </w:r>
      <w:r>
        <w:rPr>
          <w:b w:val="0"/>
          <w:i w:val="0"/>
          <w:smallCaps w:val="0"/>
          <w:strike w:val="0"/>
          <w:sz w:val="22"/>
          <w:u w:val="single"/>
        </w:rPr>
        <w:t xml:space="preserve">, the </w:t>
      </w:r>
      <w:r>
        <w:rPr>
          <w:b/>
          <w:i w:val="0"/>
          <w:smallCaps w:val="0"/>
          <w:strike w:val="0"/>
          <w:sz w:val="22"/>
          <w:u w:val="single"/>
        </w:rPr>
        <w:t>substance</w:t>
      </w:r>
      <w:r>
        <w:rPr>
          <w:b w:val="0"/>
          <w:i w:val="0"/>
          <w:smallCaps w:val="0"/>
          <w:strike w:val="0"/>
          <w:sz w:val="22"/>
          <w:u w:val="single"/>
        </w:rPr>
        <w:t xml:space="preserve"> and </w:t>
      </w:r>
      <w:r>
        <w:rPr>
          <w:b/>
          <w:i w:val="0"/>
          <w:smallCaps w:val="0"/>
          <w:strike w:val="0"/>
          <w:sz w:val="22"/>
          <w:u w:val="single"/>
        </w:rPr>
        <w:t>scope</w:t>
      </w:r>
      <w:r>
        <w:rPr>
          <w:b w:val="0"/>
          <w:i w:val="0"/>
          <w:smallCaps w:val="0"/>
          <w:strike w:val="0"/>
          <w:sz w:val="22"/>
          <w:u w:val="single"/>
        </w:rPr>
        <w:t xml:space="preserve"> of the owner ’s </w:t>
      </w:r>
      <w:r>
        <w:rPr>
          <w:b/>
          <w:i w:val="0"/>
          <w:smallCaps w:val="0"/>
          <w:strike w:val="0"/>
          <w:sz w:val="22"/>
          <w:u w:val="single"/>
        </w:rPr>
        <w:t>patent rights</w:t>
      </w:r>
      <w:r>
        <w:rPr>
          <w:b w:val="0"/>
          <w:i w:val="0"/>
          <w:smallCaps w:val="0"/>
          <w:strike w:val="0"/>
          <w:sz w:val="22"/>
          <w:u w:val="single"/>
        </w:rPr>
        <w:t xml:space="preserve"> would be the </w:t>
      </w:r>
      <w:r>
        <w:rPr>
          <w:b/>
          <w:i w:val="0"/>
          <w:smallCaps w:val="0"/>
          <w:strike w:val="0"/>
          <w:sz w:val="22"/>
          <w:u w:val="single"/>
        </w:rPr>
        <w:t>same</w:t>
      </w:r>
      <w:r>
        <w:rPr>
          <w:b w:val="0"/>
          <w:i w:val="0"/>
          <w:smallCaps w:val="0"/>
          <w:strike w:val="0"/>
          <w:sz w:val="22"/>
          <w:u w:val="single"/>
        </w:rPr>
        <w:t xml:space="preserve">; the case was </w:t>
      </w:r>
      <w:r>
        <w:rPr>
          <w:b/>
          <w:i w:val="0"/>
          <w:smallCaps w:val="0"/>
          <w:strike w:val="0"/>
          <w:sz w:val="22"/>
          <w:u w:val="single"/>
        </w:rPr>
        <w:t>simpl</w:t>
      </w:r>
      <w:r>
        <w:rPr>
          <w:b w:val="0"/>
          <w:i w:val="0"/>
          <w:smallCaps w:val="0"/>
          <w:strike w:val="0"/>
          <w:sz w:val="22"/>
          <w:u w:val="single"/>
        </w:rPr>
        <w:t xml:space="preserve">y a </w:t>
      </w:r>
      <w:r>
        <w:rPr>
          <w:b/>
          <w:i w:val="0"/>
          <w:smallCaps w:val="0"/>
          <w:strike w:val="0"/>
          <w:sz w:val="22"/>
          <w:u w:val="single"/>
        </w:rPr>
        <w:t>debate</w:t>
      </w:r>
      <w:r>
        <w:rPr>
          <w:b w:val="0"/>
          <w:i w:val="0"/>
          <w:smallCaps w:val="0"/>
          <w:strike w:val="0"/>
          <w:sz w:val="22"/>
          <w:u w:val="single"/>
        </w:rPr>
        <w:t xml:space="preserve"> among </w:t>
      </w:r>
      <w:r>
        <w:rPr>
          <w:b/>
          <w:i w:val="0"/>
          <w:smallCaps w:val="0"/>
          <w:strike w:val="0"/>
          <w:sz w:val="22"/>
          <w:u w:val="single"/>
        </w:rPr>
        <w:t>competing owners</w:t>
      </w:r>
      <w:r>
        <w:rPr>
          <w:b w:val="0"/>
          <w:i w:val="0"/>
          <w:smallCaps w:val="0"/>
          <w:strike w:val="0"/>
          <w:sz w:val="16"/>
          <w:u w:val="none"/>
        </w:rPr>
        <w:t>. Id. at 783. [END FOOTNOTE 16]</w:t>
      </w:r>
    </w:p>
    <w:p>
      <w:pPr>
        <w:spacing w:after="60"/>
      </w:pPr>
      <w:r>
        <w:rPr>
          <w:b/>
          <w:i w:val="0"/>
          <w:smallCaps w:val="0"/>
          <w:strike w:val="0"/>
          <w:sz w:val="22"/>
          <w:u w:val="single"/>
        </w:rPr>
        <w:t>Decisions</w:t>
      </w:r>
      <w:r>
        <w:rPr>
          <w:b w:val="0"/>
          <w:i w:val="0"/>
          <w:smallCaps w:val="0"/>
          <w:strike w:val="0"/>
          <w:sz w:val="22"/>
          <w:u w:val="single"/>
        </w:rPr>
        <w:t xml:space="preserve"> that </w:t>
      </w:r>
      <w:r>
        <w:rPr>
          <w:b/>
          <w:i w:val="0"/>
          <w:smallCaps w:val="0"/>
          <w:strike w:val="0"/>
          <w:sz w:val="22"/>
          <w:u w:val="single"/>
        </w:rPr>
        <w:t>neither</w:t>
      </w:r>
      <w:r>
        <w:rPr>
          <w:b w:val="0"/>
          <w:i w:val="0"/>
          <w:smallCaps w:val="0"/>
          <w:strike w:val="0"/>
          <w:sz w:val="22"/>
          <w:u w:val="single"/>
        </w:rPr>
        <w:t xml:space="preserve"> </w:t>
      </w:r>
      <w:r>
        <w:rPr>
          <w:b/>
          <w:i w:val="0"/>
          <w:smallCaps w:val="0"/>
          <w:strike w:val="0"/>
          <w:sz w:val="22"/>
          <w:u w:val="single"/>
        </w:rPr>
        <w:t>strengthened</w:t>
      </w:r>
      <w:r>
        <w:rPr>
          <w:b w:val="0"/>
          <w:i w:val="0"/>
          <w:smallCaps w:val="0"/>
          <w:strike w:val="0"/>
          <w:sz w:val="22"/>
          <w:u w:val="single"/>
        </w:rPr>
        <w:t xml:space="preserve"> </w:t>
      </w:r>
      <w:r>
        <w:rPr>
          <w:b/>
          <w:i w:val="0"/>
          <w:smallCaps w:val="0"/>
          <w:strike w:val="0"/>
          <w:sz w:val="22"/>
          <w:u w:val="single"/>
        </w:rPr>
        <w:t>nor</w:t>
      </w:r>
      <w:r>
        <w:rPr>
          <w:b w:val="0"/>
          <w:i w:val="0"/>
          <w:smallCaps w:val="0"/>
          <w:strike w:val="0"/>
          <w:sz w:val="22"/>
          <w:u w:val="single"/>
        </w:rPr>
        <w:t xml:space="preserve"> </w:t>
      </w:r>
      <w:r>
        <w:rPr>
          <w:b/>
          <w:i w:val="0"/>
          <w:smallCaps w:val="0"/>
          <w:strike w:val="0"/>
          <w:sz w:val="22"/>
          <w:u w:val="single"/>
        </w:rPr>
        <w:t>weakened</w:t>
      </w:r>
      <w:r>
        <w:rPr>
          <w:b w:val="0"/>
          <w:i w:val="0"/>
          <w:smallCaps w:val="0"/>
          <w:strike w:val="0"/>
          <w:sz w:val="22"/>
          <w:u w:val="single"/>
        </w:rPr>
        <w:t xml:space="preserve"> intellectual property rights were classified as </w:t>
      </w:r>
      <w:r>
        <w:rPr>
          <w:b/>
          <w:i w:val="0"/>
          <w:smallCaps w:val="0"/>
          <w:strike w:val="0"/>
          <w:sz w:val="22"/>
          <w:u w:val="single"/>
        </w:rPr>
        <w:t>neutral</w:t>
      </w:r>
      <w:r>
        <w:rPr>
          <w:b w:val="0"/>
          <w:i w:val="0"/>
          <w:smallCaps w:val="0"/>
          <w:strike w:val="0"/>
          <w:sz w:val="16"/>
          <w:u w:val="none"/>
        </w:rPr>
        <w:t>.</w:t>
      </w:r>
    </w:p>
    <w:p>
      <w:pPr>
        <w:pStyle w:val="Caption"/>
      </w:pPr>
      <w:r>
        <w:t>Source: Topicality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