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Strengthening protection means making it easier to acquire IPR, broadening the scope of protection, and strengthening enforcement.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Mandel 17</w:t>
      </w:r>
      <w:r>
        <w:rPr>
          <w:b w:val="0"/>
          <w:i w:val="0"/>
          <w:smallCaps w:val="0"/>
          <w:strike w:val="0"/>
          <w:u w:val="none"/>
        </w:rPr>
        <w:t xml:space="preserve"> – Dean &amp; Peter J. Liacouras Professor of Law, Temple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Gregory N. Mandel, “Institutional Fracture in Intellectual Property Law: The Supreme Court Versus Congress,” </w:t>
      </w:r>
      <w:r>
        <w:rPr>
          <w:b w:val="0"/>
          <w:i/>
          <w:smallCaps w:val="0"/>
          <w:strike w:val="0"/>
          <w:u w:val="none"/>
        </w:rPr>
        <w:t>Minnesota Law Review</w:t>
      </w:r>
      <w:r>
        <w:rPr>
          <w:b w:val="0"/>
          <w:i w:val="0"/>
          <w:smallCaps w:val="0"/>
          <w:strike w:val="0"/>
          <w:u w:val="none"/>
        </w:rPr>
        <w:t>, vol. 102, 2017, pp. 804, https://www.minnesotalawreview.org/wp-content/uploads/2018/01/Mandel_MLR.pdf.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Recent legislative and judicial actions concerning intellectual property law reveal several stark trends. Congress has been remarkably hospitable to stronger intellectual property rights. </w:t>
      </w:r>
      <w:r>
        <w:rPr>
          <w:b w:val="0"/>
          <w:i w:val="0"/>
          <w:smallCaps w:val="0"/>
          <w:strike w:val="0"/>
          <w:sz w:val="22"/>
          <w:u w:val="single"/>
        </w:rPr>
        <w:t>Congress passed forty-three intellectual property laws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during the time period in question.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those that </w:t>
      </w:r>
      <w:r>
        <w:rPr>
          <w:b/>
          <w:i w:val="0"/>
          <w:smallCaps w:val="0"/>
          <w:strike w:val="0"/>
          <w:sz w:val="22"/>
          <w:u w:val="single"/>
        </w:rPr>
        <w:t>affected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substantive </w:t>
      </w:r>
      <w:r>
        <w:rPr>
          <w:b/>
          <w:i w:val="0"/>
          <w:smallCaps w:val="0"/>
          <w:strike w:val="0"/>
          <w:sz w:val="22"/>
          <w:u w:val="single"/>
        </w:rPr>
        <w:t>strength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ights, over 80% made </w:t>
      </w:r>
      <w:r>
        <w:rPr>
          <w:b/>
          <w:i w:val="0"/>
          <w:smallCaps w:val="0"/>
          <w:strike w:val="0"/>
          <w:sz w:val="22"/>
          <w:u w:val="single"/>
        </w:rPr>
        <w:t>rights stronger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laws made it </w:t>
      </w:r>
      <w:r>
        <w:rPr>
          <w:b/>
          <w:i w:val="0"/>
          <w:smallCaps w:val="0"/>
          <w:strike w:val="0"/>
          <w:sz w:val="22"/>
          <w:u w:val="single"/>
        </w:rPr>
        <w:t>easier to acquire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intellectual property rights, </w:t>
      </w:r>
      <w:r>
        <w:rPr>
          <w:b/>
          <w:i w:val="0"/>
          <w:smallCaps w:val="0"/>
          <w:strike w:val="0"/>
          <w:sz w:val="22"/>
          <w:u w:val="single"/>
        </w:rPr>
        <w:t>broadened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scope of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strengthened enforcement</w:t>
      </w:r>
      <w:r>
        <w:rPr>
          <w:b w:val="0"/>
          <w:i w:val="0"/>
          <w:smallCaps w:val="0"/>
          <w:strike w:val="0"/>
          <w:sz w:val="16"/>
          <w:u w:val="none"/>
        </w:rPr>
        <w:t>. The Supreme Court’s intellectual property jurisprudence, however, has moved largely in the opposite direction. The Court decided forty-four intellectual property cases from the October 2002–2003 Term through the October 2015–2016 Term, and of those that substantively affected the extent of rights, two-thirds weakened protection.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