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“Strengthening” IPR includes upholding the status quo.</w:t>
      </w:r>
    </w:p>
    <w:p>
      <w:pPr>
        <w:spacing w:after="80"/>
      </w:pPr>
      <w:r>
        <w:rPr>
          <w:b/>
          <w:i w:val="0"/>
          <w:smallCaps w:val="0"/>
          <w:strike w:val="0"/>
          <w:sz w:val="26"/>
          <w:u w:val="none"/>
        </w:rPr>
        <w:t>Mandel 17</w:t>
      </w:r>
      <w:r>
        <w:rPr>
          <w:b w:val="0"/>
          <w:i w:val="0"/>
          <w:smallCaps w:val="0"/>
          <w:strike w:val="0"/>
          <w:u w:val="none"/>
        </w:rPr>
        <w:t xml:space="preserve"> – Dean &amp; Peter J. Liacouras Professor of Law, Temple University.</w:t>
      </w:r>
    </w:p>
    <w:p>
      <w:pPr>
        <w:spacing w:after="60"/>
      </w:pPr>
      <w:r>
        <w:rPr>
          <w:b w:val="0"/>
          <w:i w:val="0"/>
          <w:smallCaps w:val="0"/>
          <w:strike w:val="0"/>
          <w:u w:val="none"/>
        </w:rPr>
        <w:t xml:space="preserve">Gregory N. Mandel, “Institutional Fracture in Intellectual Property Law: The Supreme Court Versus Congress,” </w:t>
      </w:r>
      <w:r>
        <w:rPr>
          <w:b w:val="0"/>
          <w:i/>
          <w:smallCaps w:val="0"/>
          <w:strike w:val="0"/>
          <w:u w:val="none"/>
        </w:rPr>
        <w:t>Minnesota Law Review</w:t>
      </w:r>
      <w:r>
        <w:rPr>
          <w:b w:val="0"/>
          <w:i w:val="0"/>
          <w:smallCaps w:val="0"/>
          <w:strike w:val="0"/>
          <w:u w:val="none"/>
        </w:rPr>
        <w:t>, vol. 102, 2017, pp. 809, https://www.minnesotalawreview.org/wp-content/uploads/2018/01/Mandel_MLR.pdf.</w:t>
      </w:r>
    </w:p>
    <w:p>
      <w:pPr>
        <w:spacing w:after="60"/>
      </w:pPr>
      <w:r>
        <w:rPr>
          <w:b w:val="0"/>
          <w:i w:val="0"/>
          <w:smallCaps w:val="0"/>
          <w:strike w:val="0"/>
          <w:sz w:val="16"/>
          <w:u w:val="none"/>
        </w:rPr>
        <w:t xml:space="preserve">The primary variable for analysis is whether a given Supreme Court decision or legislative action strengthened or weakened intellectual property protection. Consistent with prior research in this context, </w:t>
      </w:r>
      <w:r>
        <w:rPr>
          <w:b/>
          <w:i w:val="0"/>
          <w:smallCaps w:val="0"/>
          <w:strike w:val="0"/>
          <w:sz w:val="22"/>
          <w:u w:val="single"/>
        </w:rPr>
        <w:t>strengthened</w:t>
      </w:r>
      <w:r>
        <w:rPr>
          <w:b w:val="0"/>
          <w:i w:val="0"/>
          <w:smallCaps w:val="0"/>
          <w:strike w:val="0"/>
          <w:sz w:val="22"/>
          <w:u w:val="single"/>
        </w:rPr>
        <w:t xml:space="preserve"> versus </w:t>
      </w:r>
      <w:r>
        <w:rPr>
          <w:b/>
          <w:i w:val="0"/>
          <w:smallCaps w:val="0"/>
          <w:strike w:val="0"/>
          <w:sz w:val="22"/>
          <w:u w:val="single"/>
        </w:rPr>
        <w:t>weakened</w:t>
      </w:r>
      <w:r>
        <w:rPr>
          <w:b w:val="0"/>
          <w:i w:val="0"/>
          <w:smallCaps w:val="0"/>
          <w:strike w:val="0"/>
          <w:sz w:val="22"/>
          <w:u w:val="single"/>
        </w:rPr>
        <w:t xml:space="preserve"> refers to the </w:t>
      </w:r>
      <w:r>
        <w:rPr>
          <w:b/>
          <w:i w:val="0"/>
          <w:smallCaps w:val="0"/>
          <w:strike w:val="0"/>
          <w:sz w:val="22"/>
          <w:u w:val="single"/>
        </w:rPr>
        <w:t>extent of protection</w:t>
      </w:r>
      <w:r>
        <w:rPr>
          <w:b w:val="0"/>
          <w:i w:val="0"/>
          <w:smallCaps w:val="0"/>
          <w:strike w:val="0"/>
          <w:sz w:val="22"/>
          <w:u w:val="single"/>
        </w:rPr>
        <w:t xml:space="preserve"> afforded to the intellectual property rights owner</w:t>
      </w:r>
      <w:r>
        <w:rPr>
          <w:b w:val="0"/>
          <w:i w:val="0"/>
          <w:smallCaps w:val="0"/>
          <w:strike w:val="0"/>
          <w:sz w:val="16"/>
          <w:u w:val="none"/>
        </w:rPr>
        <w:t>.11 Accordingly, Supreme Court decisions that make it easier to acquire intellectual property rights; broaden the scope of intellectual property protection; make it easier to prove infringement; or strengthen remedies for infringement are all considered to strengthen intellectual property protection. Decisions that have the opposite effects weaken protection.12</w:t>
      </w:r>
    </w:p>
    <w:p>
      <w:pPr>
        <w:spacing w:after="60"/>
      </w:pPr>
      <w:r>
        <w:rPr>
          <w:b w:val="0"/>
          <w:i w:val="0"/>
          <w:smallCaps w:val="0"/>
          <w:strike w:val="0"/>
          <w:sz w:val="16"/>
          <w:u w:val="none"/>
        </w:rPr>
        <w:t xml:space="preserve">[BEGIN FOOTNOTE 12] </w:t>
      </w:r>
      <w:r>
        <w:rPr>
          <w:b/>
          <w:i w:val="0"/>
          <w:smallCaps w:val="0"/>
          <w:strike w:val="0"/>
          <w:sz w:val="22"/>
          <w:u w:val="single"/>
        </w:rPr>
        <w:t>Consistent</w:t>
      </w:r>
      <w:r>
        <w:rPr>
          <w:b w:val="0"/>
          <w:i w:val="0"/>
          <w:smallCaps w:val="0"/>
          <w:strike w:val="0"/>
          <w:sz w:val="22"/>
          <w:u w:val="single"/>
        </w:rPr>
        <w:t xml:space="preserve"> with the </w:t>
      </w:r>
      <w:r>
        <w:rPr>
          <w:b/>
          <w:i w:val="0"/>
          <w:smallCaps w:val="0"/>
          <w:strike w:val="0"/>
          <w:sz w:val="22"/>
          <w:u w:val="single"/>
        </w:rPr>
        <w:t>standard approach</w:t>
      </w:r>
      <w:r>
        <w:rPr>
          <w:b w:val="0"/>
          <w:i w:val="0"/>
          <w:smallCaps w:val="0"/>
          <w:strike w:val="0"/>
          <w:sz w:val="22"/>
          <w:u w:val="single"/>
        </w:rPr>
        <w:t xml:space="preserve"> applied in analyzing the ideological direction of Supreme Court decisions, whether a </w:t>
      </w:r>
      <w:r>
        <w:rPr>
          <w:b/>
          <w:i w:val="0"/>
          <w:smallCaps w:val="0"/>
          <w:strike w:val="0"/>
          <w:sz w:val="22"/>
          <w:u w:val="single"/>
        </w:rPr>
        <w:t>given decision</w:t>
      </w:r>
      <w:r>
        <w:rPr>
          <w:b w:val="0"/>
          <w:i w:val="0"/>
          <w:smallCaps w:val="0"/>
          <w:strike w:val="0"/>
          <w:sz w:val="22"/>
          <w:u w:val="single"/>
        </w:rPr>
        <w:t xml:space="preserve"> </w:t>
      </w:r>
      <w:r>
        <w:rPr>
          <w:b/>
          <w:i w:val="0"/>
          <w:smallCaps w:val="0"/>
          <w:strike w:val="0"/>
          <w:sz w:val="22"/>
          <w:u w:val="single"/>
        </w:rPr>
        <w:t>strengthened</w:t>
      </w:r>
      <w:r>
        <w:rPr>
          <w:b w:val="0"/>
          <w:i w:val="0"/>
          <w:smallCaps w:val="0"/>
          <w:strike w:val="0"/>
          <w:sz w:val="22"/>
          <w:u w:val="single"/>
        </w:rPr>
        <w:t xml:space="preserve"> or </w:t>
      </w:r>
      <w:r>
        <w:rPr>
          <w:b/>
          <w:i w:val="0"/>
          <w:smallCaps w:val="0"/>
          <w:strike w:val="0"/>
          <w:sz w:val="22"/>
          <w:u w:val="single"/>
        </w:rPr>
        <w:t>weakened</w:t>
      </w:r>
      <w:r>
        <w:rPr>
          <w:b w:val="0"/>
          <w:i w:val="0"/>
          <w:smallCaps w:val="0"/>
          <w:strike w:val="0"/>
          <w:sz w:val="22"/>
          <w:u w:val="single"/>
        </w:rPr>
        <w:t xml:space="preserve"> intellectual property rights was determined based on the </w:t>
      </w:r>
      <w:r>
        <w:rPr>
          <w:b/>
          <w:i w:val="0"/>
          <w:smallCaps w:val="0"/>
          <w:strike w:val="0"/>
          <w:sz w:val="22"/>
          <w:u w:val="single"/>
        </w:rPr>
        <w:t>net effect</w:t>
      </w:r>
      <w:r>
        <w:rPr>
          <w:b w:val="0"/>
          <w:i w:val="0"/>
          <w:smallCaps w:val="0"/>
          <w:strike w:val="0"/>
          <w:sz w:val="22"/>
          <w:u w:val="single"/>
        </w:rPr>
        <w:t xml:space="preserve"> on intellectual property law with respect to the </w:t>
      </w:r>
      <w:r>
        <w:rPr>
          <w:b/>
          <w:i w:val="0"/>
          <w:smallCaps w:val="0"/>
          <w:strike w:val="0"/>
          <w:sz w:val="22"/>
          <w:u w:val="single"/>
        </w:rPr>
        <w:t>issue at hand</w:t>
      </w:r>
      <w:r>
        <w:rPr>
          <w:b w:val="0"/>
          <w:i w:val="0"/>
          <w:smallCaps w:val="0"/>
          <w:strike w:val="0"/>
          <w:sz w:val="22"/>
          <w:u w:val="single"/>
        </w:rPr>
        <w:t xml:space="preserve">, </w:t>
      </w:r>
      <w:r>
        <w:rPr>
          <w:b/>
          <w:i w:val="0"/>
          <w:smallCaps w:val="0"/>
          <w:strike w:val="0"/>
          <w:sz w:val="22"/>
          <w:u w:val="single"/>
        </w:rPr>
        <w:t>not</w:t>
      </w:r>
      <w:r>
        <w:rPr>
          <w:b w:val="0"/>
          <w:i w:val="0"/>
          <w:smallCaps w:val="0"/>
          <w:strike w:val="0"/>
          <w:sz w:val="22"/>
          <w:u w:val="single"/>
        </w:rPr>
        <w:t xml:space="preserve"> based simply on whether there was a </w:t>
      </w:r>
      <w:r>
        <w:rPr>
          <w:b/>
          <w:i w:val="0"/>
          <w:smallCaps w:val="0"/>
          <w:strike w:val="0"/>
          <w:sz w:val="22"/>
          <w:u w:val="single"/>
        </w:rPr>
        <w:t>change</w:t>
      </w:r>
      <w:r>
        <w:rPr>
          <w:b w:val="0"/>
          <w:i w:val="0"/>
          <w:smallCaps w:val="0"/>
          <w:strike w:val="0"/>
          <w:sz w:val="22"/>
          <w:u w:val="single"/>
        </w:rPr>
        <w:t xml:space="preserve"> from the </w:t>
      </w:r>
      <w:r>
        <w:rPr>
          <w:b/>
          <w:i w:val="0"/>
          <w:smallCaps w:val="0"/>
          <w:strike w:val="0"/>
          <w:sz w:val="22"/>
          <w:u w:val="single"/>
        </w:rPr>
        <w:t>status quo</w:t>
      </w:r>
      <w:r>
        <w:rPr>
          <w:b w:val="0"/>
          <w:i w:val="0"/>
          <w:smallCaps w:val="0"/>
          <w:strike w:val="0"/>
          <w:sz w:val="16"/>
          <w:u w:val="none"/>
        </w:rPr>
        <w:t xml:space="preserve">.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Thus, </w:t>
      </w:r>
      <w:r>
        <w:rPr>
          <w:b/>
          <w:i w:val="0"/>
          <w:smallCaps w:val="0"/>
          <w:strike w:val="0"/>
          <w:sz w:val="22"/>
          <w:u w:val="single"/>
        </w:rPr>
        <w:t>Eldred v. Ashcroft</w:t>
      </w:r>
      <w:r>
        <w:rPr>
          <w:b w:val="0"/>
          <w:i w:val="0"/>
          <w:smallCaps w:val="0"/>
          <w:strike w:val="0"/>
          <w:sz w:val="16"/>
          <w:u w:val="none"/>
        </w:rPr>
        <w:t xml:space="preserve">, 537 U.S. 186 (2003), </w:t>
      </w:r>
      <w:r>
        <w:rPr>
          <w:b w:val="0"/>
          <w:i w:val="0"/>
          <w:smallCaps w:val="0"/>
          <w:strike w:val="0"/>
          <w:sz w:val="22"/>
          <w:u w:val="single"/>
        </w:rPr>
        <w:t xml:space="preserve">is coded as </w:t>
      </w:r>
      <w:r>
        <w:rPr>
          <w:b/>
          <w:i w:val="0"/>
          <w:smallCaps w:val="0"/>
          <w:strike w:val="0"/>
          <w:sz w:val="22"/>
          <w:u w:val="single"/>
        </w:rPr>
        <w:t>strengthening</w:t>
      </w:r>
      <w:r>
        <w:rPr>
          <w:b w:val="0"/>
          <w:i w:val="0"/>
          <w:smallCaps w:val="0"/>
          <w:strike w:val="0"/>
          <w:sz w:val="22"/>
          <w:u w:val="single"/>
        </w:rPr>
        <w:t xml:space="preserve"> intellectual property rights because it </w:t>
      </w:r>
      <w:r>
        <w:rPr>
          <w:b/>
          <w:i w:val="0"/>
          <w:smallCaps w:val="0"/>
          <w:strike w:val="0"/>
          <w:sz w:val="22"/>
          <w:u w:val="single"/>
        </w:rPr>
        <w:t>upheld</w:t>
      </w:r>
      <w:r>
        <w:rPr>
          <w:b w:val="0"/>
          <w:i w:val="0"/>
          <w:smallCaps w:val="0"/>
          <w:strike w:val="0"/>
          <w:sz w:val="22"/>
          <w:u w:val="single"/>
        </w:rPr>
        <w:t xml:space="preserve"> the </w:t>
      </w:r>
      <w:r>
        <w:rPr>
          <w:b/>
          <w:i w:val="0"/>
          <w:smallCaps w:val="0"/>
          <w:strike w:val="0"/>
          <w:sz w:val="22"/>
          <w:u w:val="single"/>
        </w:rPr>
        <w:t>Copyright Term Extension Act</w:t>
      </w:r>
      <w:r>
        <w:rPr>
          <w:b w:val="0"/>
          <w:i w:val="0"/>
          <w:smallCaps w:val="0"/>
          <w:strike w:val="0"/>
          <w:sz w:val="22"/>
          <w:u w:val="single"/>
        </w:rPr>
        <w:t xml:space="preserve"> against a </w:t>
      </w:r>
      <w:r>
        <w:rPr>
          <w:b/>
          <w:i w:val="0"/>
          <w:smallCaps w:val="0"/>
          <w:strike w:val="0"/>
          <w:sz w:val="22"/>
          <w:u w:val="single"/>
        </w:rPr>
        <w:t>constitutional challenge</w:t>
      </w:r>
      <w:r>
        <w:rPr>
          <w:b w:val="0"/>
          <w:i w:val="0"/>
          <w:smallCaps w:val="0"/>
          <w:strike w:val="0"/>
          <w:sz w:val="16"/>
          <w:u w:val="none"/>
        </w:rPr>
        <w:t xml:space="preserve">. As the statutory name implies, </w:t>
      </w:r>
      <w:r>
        <w:rPr>
          <w:b w:val="0"/>
          <w:i w:val="0"/>
          <w:smallCaps w:val="0"/>
          <w:strike w:val="0"/>
          <w:sz w:val="22"/>
          <w:u w:val="single"/>
        </w:rPr>
        <w:t xml:space="preserve">the Copyright Term Extension Act </w:t>
      </w:r>
      <w:r>
        <w:rPr>
          <w:b/>
          <w:i w:val="0"/>
          <w:smallCaps w:val="0"/>
          <w:strike w:val="0"/>
          <w:sz w:val="22"/>
          <w:u w:val="single"/>
        </w:rPr>
        <w:t>extended</w:t>
      </w:r>
      <w:r>
        <w:rPr>
          <w:b w:val="0"/>
          <w:i w:val="0"/>
          <w:smallCaps w:val="0"/>
          <w:strike w:val="0"/>
          <w:sz w:val="22"/>
          <w:u w:val="single"/>
        </w:rPr>
        <w:t xml:space="preserve"> owner ’s </w:t>
      </w:r>
      <w:r>
        <w:rPr>
          <w:b/>
          <w:i w:val="0"/>
          <w:smallCaps w:val="0"/>
          <w:strike w:val="0"/>
          <w:sz w:val="22"/>
          <w:u w:val="single"/>
        </w:rPr>
        <w:t>copyright terms</w:t>
      </w:r>
      <w:r>
        <w:rPr>
          <w:b w:val="0"/>
          <w:i w:val="0"/>
          <w:smallCaps w:val="0"/>
          <w:strike w:val="0"/>
          <w:sz w:val="22"/>
          <w:u w:val="single"/>
        </w:rPr>
        <w:t xml:space="preserve">. Though </w:t>
      </w:r>
      <w:r>
        <w:rPr>
          <w:b/>
          <w:i w:val="0"/>
          <w:smallCaps w:val="0"/>
          <w:strike w:val="0"/>
          <w:sz w:val="22"/>
          <w:u w:val="single"/>
        </w:rPr>
        <w:t>upholding</w:t>
      </w:r>
      <w:r>
        <w:rPr>
          <w:b w:val="0"/>
          <w:i w:val="0"/>
          <w:smallCaps w:val="0"/>
          <w:strike w:val="0"/>
          <w:sz w:val="22"/>
          <w:u w:val="single"/>
        </w:rPr>
        <w:t xml:space="preserve"> the law </w:t>
      </w:r>
      <w:r>
        <w:rPr>
          <w:b/>
          <w:i w:val="0"/>
          <w:smallCaps w:val="0"/>
          <w:strike w:val="0"/>
          <w:sz w:val="22"/>
          <w:u w:val="single"/>
        </w:rPr>
        <w:t>effectively maintained</w:t>
      </w:r>
      <w:r>
        <w:rPr>
          <w:b w:val="0"/>
          <w:i w:val="0"/>
          <w:smallCaps w:val="0"/>
          <w:strike w:val="0"/>
          <w:sz w:val="22"/>
          <w:u w:val="single"/>
        </w:rPr>
        <w:t xml:space="preserve"> the </w:t>
      </w:r>
      <w:r>
        <w:rPr>
          <w:b/>
          <w:i w:val="0"/>
          <w:smallCaps w:val="0"/>
          <w:strike w:val="0"/>
          <w:sz w:val="22"/>
          <w:u w:val="single"/>
        </w:rPr>
        <w:t>status quo</w:t>
      </w:r>
      <w:r>
        <w:rPr>
          <w:b w:val="0"/>
          <w:i w:val="0"/>
          <w:smallCaps w:val="0"/>
          <w:strike w:val="0"/>
          <w:sz w:val="22"/>
          <w:u w:val="single"/>
        </w:rPr>
        <w:t xml:space="preserve">, the Court’s </w:t>
      </w:r>
      <w:r>
        <w:rPr>
          <w:b/>
          <w:i w:val="0"/>
          <w:smallCaps w:val="0"/>
          <w:strike w:val="0"/>
          <w:sz w:val="22"/>
          <w:u w:val="single"/>
        </w:rPr>
        <w:t>decision</w:t>
      </w:r>
      <w:r>
        <w:rPr>
          <w:b w:val="0"/>
          <w:i w:val="0"/>
          <w:smallCaps w:val="0"/>
          <w:strike w:val="0"/>
          <w:sz w:val="22"/>
          <w:u w:val="single"/>
        </w:rPr>
        <w:t xml:space="preserve"> on the issue</w:t>
      </w:r>
      <w:r>
        <w:rPr>
          <w:b w:val="0"/>
          <w:i w:val="0"/>
          <w:smallCaps w:val="0"/>
          <w:strike w:val="0"/>
          <w:sz w:val="16"/>
          <w:u w:val="none"/>
        </w:rPr>
        <w:t xml:space="preserve"> before it </w:t>
      </w:r>
      <w:r>
        <w:rPr>
          <w:b/>
          <w:i w:val="0"/>
          <w:smallCaps w:val="0"/>
          <w:strike w:val="0"/>
          <w:sz w:val="22"/>
          <w:u w:val="single"/>
        </w:rPr>
        <w:t>favored greater protection</w:t>
      </w:r>
      <w:r>
        <w:rPr>
          <w:b w:val="0"/>
          <w:i w:val="0"/>
          <w:smallCaps w:val="0"/>
          <w:strike w:val="0"/>
          <w:sz w:val="16"/>
          <w:u w:val="none"/>
        </w:rPr>
        <w:t>. [END FOOTNOTE 12]</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