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“Domestic” law is explicitly </w:t>
      </w:r>
      <w:r>
        <w:rPr>
          <w:b/>
          <w:i w:val="0"/>
          <w:smallCaps w:val="0"/>
          <w:strike w:val="0"/>
          <w:sz w:val="26"/>
          <w:u w:val="single"/>
        </w:rPr>
        <w:t>distinguished</w:t>
      </w:r>
      <w:r>
        <w:rPr>
          <w:b/>
          <w:i w:val="0"/>
          <w:smallCaps w:val="0"/>
          <w:strike w:val="0"/>
          <w:sz w:val="26"/>
          <w:u w:val="none"/>
        </w:rPr>
        <w:t xml:space="preserve"> from treaty law.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Horn 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– Senior judge of the U.S. Court of Federal Claims.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Marian Blank Horn, “Christensen v. United States,” 168 Fed. Cl. 263, 13 September 2023, </w:t>
      </w:r>
      <w:r>
        <w:rPr>
          <w:b w:val="0"/>
          <w:i w:val="0"/>
          <w:smallCaps w:val="0"/>
          <w:strike w:val="0"/>
          <w:u w:val="none"/>
        </w:rPr>
        <w:t>pp. 126-127, Lexis.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According to plaintiffs, "the [Internal Revenue] Code need not expressly provide for a foreign tax credit if the foreign levy in question falls within the treaty definition of a creditable tax" because "what constitutes a United States income tax for purposes of </w:t>
      </w:r>
      <w:r>
        <w:rPr>
          <w:b w:val="0"/>
          <w:i w:val="0"/>
          <w:smallCaps w:val="0"/>
          <w:strike w:val="0"/>
          <w:sz w:val="22"/>
          <w:u w:val="single"/>
        </w:rPr>
        <w:t>the application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a treaty </w:t>
      </w:r>
      <w:r>
        <w:rPr>
          <w:b/>
          <w:i w:val="0"/>
          <w:smallCaps w:val="0"/>
          <w:strike w:val="0"/>
          <w:sz w:val="22"/>
          <w:u w:val="single"/>
        </w:rPr>
        <w:t>derives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the </w:t>
      </w:r>
      <w:r>
        <w:rPr>
          <w:b/>
          <w:i w:val="0"/>
          <w:smallCaps w:val="0"/>
          <w:strike w:val="0"/>
          <w:sz w:val="22"/>
          <w:u w:val="single"/>
        </w:rPr>
        <w:t>treaty's definition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</w:t>
      </w:r>
      <w:r>
        <w:rPr>
          <w:b/>
          <w:i w:val="0"/>
          <w:smallCaps w:val="0"/>
          <w:strike w:val="0"/>
          <w:sz w:val="22"/>
          <w:u w:val="single"/>
        </w:rPr>
        <w:t>domestic law</w:t>
      </w:r>
      <w:r>
        <w:rPr>
          <w:b w:val="0"/>
          <w:i w:val="0"/>
          <w:smallCaps w:val="0"/>
          <w:strike w:val="0"/>
          <w:sz w:val="16"/>
          <w:u w:val="none"/>
        </w:rPr>
        <w:t>."32 (emphasis in original; alteration added). Plaintiffs argue that "[d]omestic law therefore does not constitute an absolute limitation on the rights and entitlements that may be granted to treaty beneficiaries under the terms of a U.S. tax treaty." (alteration added). Plaintiffs state that "[t]he parties agree that the NIIT constitutes a United States income tax as defined in Article 2(1) and 2(2) of the French Treaty," and, therefore, "that when a treaty provides a definition of a covered tax, it is that definition, and not the more limited definition under United States or foreign law, that is applied." (alteration added).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