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Trademarks protect </w:t>
      </w:r>
      <w:r>
        <w:rPr>
          <w:b/>
          <w:i w:val="0"/>
          <w:smallCaps w:val="0"/>
          <w:strike w:val="0"/>
          <w:sz w:val="26"/>
          <w:u w:val="single"/>
        </w:rPr>
        <w:t>distinctive features</w:t>
      </w:r>
      <w:r>
        <w:rPr>
          <w:b/>
          <w:i w:val="0"/>
          <w:smallCaps w:val="0"/>
          <w:strike w:val="0"/>
          <w:sz w:val="26"/>
          <w:u w:val="none"/>
        </w:rPr>
        <w:t xml:space="preserve"> of goods and services.</w:t>
      </w:r>
    </w:p>
    <w:p>
      <w:pPr>
        <w:spacing w:after="80"/>
      </w:pPr>
      <w:r>
        <w:rPr>
          <w:b/>
          <w:i w:val="0"/>
          <w:smallCaps w:val="0"/>
          <w:strike w:val="0"/>
          <w:sz w:val="26"/>
          <w:u w:val="none"/>
        </w:rPr>
        <w:t>GULC N.D.</w:t>
      </w:r>
      <w:r>
        <w:rPr>
          <w:b w:val="0"/>
          <w:i w:val="0"/>
          <w:smallCaps w:val="0"/>
          <w:strike w:val="0"/>
          <w:u w:val="none"/>
        </w:rPr>
        <w:t xml:space="preserve"> – Georgetown University Law Center.</w:t>
      </w:r>
    </w:p>
    <w:p>
      <w:pPr>
        <w:spacing w:after="60"/>
      </w:pPr>
      <w:r>
        <w:rPr>
          <w:b w:val="0"/>
          <w:i w:val="0"/>
          <w:smallCaps w:val="0"/>
          <w:strike w:val="0"/>
          <w:u w:val="none"/>
        </w:rPr>
        <w:t xml:space="preserve">“Intellectual Property Law,” </w:t>
      </w:r>
      <w:r>
        <w:rPr>
          <w:b w:val="0"/>
          <w:i/>
          <w:smallCaps w:val="0"/>
          <w:strike w:val="0"/>
          <w:u w:val="none"/>
        </w:rPr>
        <w:t>Georgetown University Law Center</w:t>
      </w:r>
      <w:r>
        <w:rPr>
          <w:b w:val="0"/>
          <w:i w:val="0"/>
          <w:smallCaps w:val="0"/>
          <w:strike w:val="0"/>
          <w:u w:val="none"/>
        </w:rPr>
        <w:t xml:space="preserve">, https://www.law.georgetown.edu/your-life-career/career-exploration-professional-development/for-jd-students/explore-legal-careers/practice-areas/intellectual-property-law/, accessed 26 May 2024. </w:t>
      </w:r>
    </w:p>
    <w:p>
      <w:pPr>
        <w:spacing w:after="60"/>
      </w:pPr>
      <w:r>
        <w:rPr>
          <w:b/>
          <w:i w:val="0"/>
          <w:smallCaps w:val="0"/>
          <w:strike w:val="0"/>
          <w:sz w:val="22"/>
          <w:u w:val="single"/>
        </w:rPr>
        <w:t>Trademark law</w:t>
      </w:r>
      <w:r>
        <w:rPr>
          <w:b w:val="0"/>
          <w:i w:val="0"/>
          <w:smallCaps w:val="0"/>
          <w:strike w:val="0"/>
          <w:sz w:val="22"/>
          <w:u w:val="single"/>
        </w:rPr>
        <w:t xml:space="preserve"> protects a </w:t>
      </w:r>
      <w:r>
        <w:rPr>
          <w:b/>
          <w:i w:val="0"/>
          <w:smallCaps w:val="0"/>
          <w:strike w:val="0"/>
          <w:sz w:val="22"/>
          <w:u w:val="single"/>
        </w:rPr>
        <w:t>word</w:t>
      </w:r>
      <w:r>
        <w:rPr>
          <w:b w:val="0"/>
          <w:i w:val="0"/>
          <w:smallCaps w:val="0"/>
          <w:strike w:val="0"/>
          <w:sz w:val="22"/>
          <w:u w:val="single"/>
        </w:rPr>
        <w:t xml:space="preserve">, </w:t>
      </w:r>
      <w:r>
        <w:rPr>
          <w:b/>
          <w:i w:val="0"/>
          <w:smallCaps w:val="0"/>
          <w:strike w:val="0"/>
          <w:sz w:val="22"/>
          <w:u w:val="single"/>
        </w:rPr>
        <w:t>phrase</w:t>
      </w:r>
      <w:r>
        <w:rPr>
          <w:b w:val="0"/>
          <w:i w:val="0"/>
          <w:smallCaps w:val="0"/>
          <w:strike w:val="0"/>
          <w:sz w:val="22"/>
          <w:u w:val="single"/>
        </w:rPr>
        <w:t xml:space="preserve">, </w:t>
      </w:r>
      <w:r>
        <w:rPr>
          <w:b/>
          <w:i w:val="0"/>
          <w:smallCaps w:val="0"/>
          <w:strike w:val="0"/>
          <w:sz w:val="22"/>
          <w:u w:val="single"/>
        </w:rPr>
        <w:t>symbol</w:t>
      </w:r>
      <w:r>
        <w:rPr>
          <w:b w:val="0"/>
          <w:i w:val="0"/>
          <w:smallCaps w:val="0"/>
          <w:strike w:val="0"/>
          <w:sz w:val="22"/>
          <w:u w:val="single"/>
        </w:rPr>
        <w:t xml:space="preserve"> or </w:t>
      </w:r>
      <w:r>
        <w:rPr>
          <w:b/>
          <w:i w:val="0"/>
          <w:smallCaps w:val="0"/>
          <w:strike w:val="0"/>
          <w:sz w:val="22"/>
          <w:u w:val="single"/>
        </w:rPr>
        <w:t>design</w:t>
      </w:r>
      <w:r>
        <w:rPr>
          <w:b w:val="0"/>
          <w:i w:val="0"/>
          <w:smallCaps w:val="0"/>
          <w:strike w:val="0"/>
          <w:sz w:val="22"/>
          <w:u w:val="single"/>
        </w:rPr>
        <w:t xml:space="preserve"> that is used by an entity to </w:t>
      </w:r>
      <w:r>
        <w:rPr>
          <w:b/>
          <w:i w:val="0"/>
          <w:smallCaps w:val="0"/>
          <w:strike w:val="0"/>
          <w:sz w:val="22"/>
          <w:u w:val="single"/>
        </w:rPr>
        <w:t>identify</w:t>
      </w:r>
      <w:r>
        <w:rPr>
          <w:b w:val="0"/>
          <w:i w:val="0"/>
          <w:smallCaps w:val="0"/>
          <w:strike w:val="0"/>
          <w:sz w:val="22"/>
          <w:u w:val="single"/>
        </w:rPr>
        <w:t xml:space="preserve"> its </w:t>
      </w:r>
      <w:r>
        <w:rPr>
          <w:b/>
          <w:i w:val="0"/>
          <w:smallCaps w:val="0"/>
          <w:strike w:val="0"/>
          <w:sz w:val="22"/>
          <w:u w:val="single"/>
        </w:rPr>
        <w:t>product</w:t>
      </w:r>
      <w:r>
        <w:rPr>
          <w:b w:val="0"/>
          <w:i w:val="0"/>
          <w:smallCaps w:val="0"/>
          <w:strike w:val="0"/>
          <w:sz w:val="22"/>
          <w:u w:val="single"/>
        </w:rPr>
        <w:t xml:space="preserve"> or </w:t>
      </w:r>
      <w:r>
        <w:rPr>
          <w:b/>
          <w:i w:val="0"/>
          <w:smallCaps w:val="0"/>
          <w:strike w:val="0"/>
          <w:sz w:val="22"/>
          <w:u w:val="single"/>
        </w:rPr>
        <w:t>service</w:t>
      </w:r>
      <w:r>
        <w:rPr>
          <w:b w:val="0"/>
          <w:i w:val="0"/>
          <w:smallCaps w:val="0"/>
          <w:strike w:val="0"/>
          <w:sz w:val="22"/>
          <w:u w:val="single"/>
        </w:rPr>
        <w:t xml:space="preserve">. </w:t>
      </w:r>
      <w:r>
        <w:rPr>
          <w:b/>
          <w:i w:val="0"/>
          <w:smallCaps w:val="0"/>
          <w:strike w:val="0"/>
          <w:sz w:val="22"/>
          <w:u w:val="single"/>
        </w:rPr>
        <w:t>Examples</w:t>
      </w:r>
      <w:r>
        <w:rPr>
          <w:b w:val="0"/>
          <w:i w:val="0"/>
          <w:smallCaps w:val="0"/>
          <w:strike w:val="0"/>
          <w:sz w:val="22"/>
          <w:u w:val="single"/>
        </w:rPr>
        <w:t xml:space="preserve"> are </w:t>
      </w:r>
      <w:r>
        <w:rPr>
          <w:b/>
          <w:i w:val="0"/>
          <w:smallCaps w:val="0"/>
          <w:strike w:val="0"/>
          <w:sz w:val="22"/>
          <w:u w:val="single"/>
        </w:rPr>
        <w:t>Dunkin Donuts orange</w:t>
      </w:r>
      <w:r>
        <w:rPr>
          <w:b w:val="0"/>
          <w:i w:val="0"/>
          <w:smallCaps w:val="0"/>
          <w:strike w:val="0"/>
          <w:sz w:val="22"/>
          <w:u w:val="single"/>
        </w:rPr>
        <w:t xml:space="preserve"> and pink sausage style lettering, </w:t>
      </w:r>
      <w:r>
        <w:rPr>
          <w:b/>
          <w:i w:val="0"/>
          <w:smallCaps w:val="0"/>
          <w:strike w:val="0"/>
          <w:sz w:val="22"/>
          <w:u w:val="single"/>
        </w:rPr>
        <w:t>Apple’s apple logo</w:t>
      </w:r>
      <w:r>
        <w:rPr>
          <w:b w:val="0"/>
          <w:i w:val="0"/>
          <w:smallCaps w:val="0"/>
          <w:strike w:val="0"/>
          <w:sz w:val="22"/>
          <w:u w:val="single"/>
        </w:rPr>
        <w:t xml:space="preserve">, and </w:t>
      </w:r>
      <w:r>
        <w:rPr>
          <w:b/>
          <w:i w:val="0"/>
          <w:smallCaps w:val="0"/>
          <w:strike w:val="0"/>
          <w:sz w:val="22"/>
          <w:u w:val="single"/>
        </w:rPr>
        <w:t>Adidas’ three stripes</w:t>
      </w:r>
      <w:r>
        <w:rPr>
          <w:b w:val="0"/>
          <w:i w:val="0"/>
          <w:smallCaps w:val="0"/>
          <w:strike w:val="0"/>
          <w:sz w:val="16"/>
          <w:u w:val="none"/>
        </w:rPr>
        <w:t>. Trademark owners can prevent others from using their marks, or marks which are confusingly similar so that consumers would not be able to identify the source. Federal and state laws govern trademarks but the Lanham Act is the primary source of trademark protection. These laws protect against infringement and dilution. Rights in trademarks are gained by being the first to use a trademark in commerce or being the first to register the mark with the United States Patent and Trademark Office.</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