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Trade secret protection is distinct from </w:t>
      </w:r>
      <w:r>
        <w:rPr>
          <w:b/>
          <w:i w:val="0"/>
          <w:smallCaps w:val="0"/>
          <w:strike w:val="0"/>
          <w:sz w:val="26"/>
          <w:u w:val="none"/>
        </w:rPr>
        <w:t xml:space="preserve">patents, trademarks, and copyrights.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Moseley</w:t>
      </w:r>
      <w:r>
        <w:rPr>
          <w:b/>
          <w:i w:val="0"/>
          <w:smallCaps w:val="0"/>
          <w:strike w:val="0"/>
          <w:sz w:val="26"/>
          <w:u w:val="none"/>
        </w:rPr>
        <w:t xml:space="preserve"> 08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– Justice for the Texas Sixth District Court of Appeals.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Bailey C. Moseley, “McClain v. State,” 269 S.W.3d 191, 17 October 2008, </w:t>
      </w:r>
      <w:r>
        <w:rPr>
          <w:b w:val="0"/>
          <w:i w:val="0"/>
          <w:smallCaps w:val="0"/>
          <w:strike w:val="0"/>
          <w:u w:val="none"/>
        </w:rPr>
        <w:t xml:space="preserve">pp. 6, Lexis.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principal modes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ights include </w:t>
      </w:r>
      <w:r>
        <w:rPr>
          <w:b/>
          <w:i w:val="0"/>
          <w:smallCaps w:val="0"/>
          <w:strike w:val="0"/>
          <w:sz w:val="22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trademark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trade dress,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trade secrets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Id. at 1-2. </w:t>
      </w:r>
      <w:r>
        <w:rPr>
          <w:b/>
          <w:i w:val="0"/>
          <w:smallCaps w:val="0"/>
          <w:strike w:val="0"/>
          <w:sz w:val="22"/>
          <w:u w:val="single"/>
        </w:rPr>
        <w:t>Unlike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other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principal modes of intellectual property protection, </w:t>
      </w:r>
      <w:r>
        <w:rPr>
          <w:b/>
          <w:i w:val="0"/>
          <w:smallCaps w:val="0"/>
          <w:strike w:val="0"/>
          <w:sz w:val="22"/>
          <w:u w:val="single"/>
        </w:rPr>
        <w:t>trade secret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protection </w:t>
      </w:r>
      <w:r>
        <w:rPr>
          <w:b/>
          <w:i w:val="0"/>
          <w:smallCaps w:val="0"/>
          <w:strike w:val="0"/>
          <w:sz w:val="22"/>
          <w:u w:val="single"/>
        </w:rPr>
        <w:t>only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protects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owner from </w:t>
      </w:r>
      <w:r>
        <w:rPr>
          <w:b/>
          <w:i w:val="0"/>
          <w:smallCaps w:val="0"/>
          <w:strike w:val="0"/>
          <w:sz w:val="22"/>
          <w:u w:val="single"/>
        </w:rPr>
        <w:t>misappropriation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or the </w:t>
      </w:r>
      <w:r>
        <w:rPr>
          <w:b/>
          <w:i w:val="0"/>
          <w:smallCaps w:val="0"/>
          <w:strike w:val="0"/>
          <w:sz w:val="22"/>
          <w:u w:val="single"/>
        </w:rPr>
        <w:t>unlawful discovery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an idea</w:t>
      </w:r>
      <w:r>
        <w:rPr>
          <w:b w:val="0"/>
          <w:i w:val="0"/>
          <w:smallCaps w:val="0"/>
          <w:strike w:val="0"/>
          <w:sz w:val="16"/>
          <w:u w:val="none"/>
        </w:rPr>
        <w:t>. In order for there to be a violation of the right to protect a trade secret, the actor must have wrongfully acquired the information. Id. at 35.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