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Technical standards created by Standards Development Organizations (SDOs) can receive copyright protections when employed for </w:t>
      </w:r>
      <w:r>
        <w:rPr>
          <w:b/>
          <w:i w:val="0"/>
          <w:smallCaps w:val="0"/>
          <w:strike w:val="0"/>
          <w:sz w:val="26"/>
          <w:u w:val="single"/>
        </w:rPr>
        <w:t>private organizations</w:t>
      </w:r>
      <w:r>
        <w:rPr>
          <w:b/>
          <w:i w:val="0"/>
          <w:smallCaps w:val="0"/>
          <w:strike w:val="0"/>
          <w:sz w:val="26"/>
          <w:u w:val="none"/>
        </w:rPr>
        <w:t xml:space="preserve">, but in </w:t>
      </w:r>
      <w:r>
        <w:rPr>
          <w:b/>
          <w:i/>
          <w:smallCaps w:val="0"/>
          <w:strike w:val="0"/>
          <w:sz w:val="26"/>
          <w:u w:val="none"/>
        </w:rPr>
        <w:t>American Society for Testing and Materials v. Public.Resource.Org</w:t>
      </w:r>
      <w:r>
        <w:rPr>
          <w:b/>
          <w:i w:val="0"/>
          <w:smallCaps w:val="0"/>
          <w:strike w:val="0"/>
          <w:sz w:val="26"/>
          <w:u w:val="none"/>
        </w:rPr>
        <w:t xml:space="preserve"> (ASTM), the D.C. Circuit Court </w:t>
      </w:r>
      <w:r>
        <w:rPr>
          <w:b/>
          <w:i w:val="0"/>
          <w:smallCaps w:val="0"/>
          <w:strike w:val="0"/>
          <w:sz w:val="26"/>
          <w:u w:val="single"/>
        </w:rPr>
        <w:t>overturned</w:t>
      </w:r>
      <w:r>
        <w:rPr>
          <w:b/>
          <w:i w:val="0"/>
          <w:smallCaps w:val="0"/>
          <w:strike w:val="0"/>
          <w:sz w:val="26"/>
          <w:u w:val="none"/>
        </w:rPr>
        <w:t xml:space="preserve"> the district court’s </w:t>
      </w:r>
      <w:r>
        <w:rPr>
          <w:b/>
          <w:i w:val="0"/>
          <w:smallCaps w:val="0"/>
          <w:strike w:val="0"/>
          <w:sz w:val="26"/>
          <w:u w:val="single"/>
        </w:rPr>
        <w:t>original decision</w:t>
      </w:r>
      <w:r>
        <w:rPr>
          <w:b/>
          <w:i w:val="0"/>
          <w:smallCaps w:val="0"/>
          <w:strike w:val="0"/>
          <w:sz w:val="26"/>
          <w:u w:val="none"/>
        </w:rPr>
        <w:t xml:space="preserve"> and found that this protection </w:t>
      </w:r>
      <w:r>
        <w:rPr>
          <w:b/>
          <w:i w:val="0"/>
          <w:smallCaps w:val="0"/>
          <w:strike w:val="0"/>
          <w:sz w:val="26"/>
          <w:u w:val="single"/>
        </w:rPr>
        <w:t>does not exist</w:t>
      </w:r>
      <w:r>
        <w:rPr>
          <w:b/>
          <w:i w:val="0"/>
          <w:smallCaps w:val="0"/>
          <w:strike w:val="0"/>
          <w:sz w:val="26"/>
          <w:u w:val="none"/>
        </w:rPr>
        <w:t xml:space="preserve"> when they are </w:t>
      </w:r>
      <w:r>
        <w:rPr>
          <w:b/>
          <w:i w:val="0"/>
          <w:smallCaps w:val="0"/>
          <w:strike w:val="0"/>
          <w:sz w:val="26"/>
          <w:u w:val="single"/>
        </w:rPr>
        <w:t>incorporated into public law</w:t>
      </w:r>
      <w:r>
        <w:rPr>
          <w:b/>
          <w:i w:val="0"/>
          <w:smallCaps w:val="0"/>
          <w:strike w:val="0"/>
          <w:sz w:val="26"/>
          <w:u w:val="none"/>
        </w:rPr>
        <w:t xml:space="preserve"> by the government based on them being “</w:t>
      </w:r>
      <w:r>
        <w:rPr>
          <w:b/>
          <w:i w:val="0"/>
          <w:smallCaps w:val="0"/>
          <w:strike w:val="0"/>
          <w:sz w:val="26"/>
          <w:u w:val="single"/>
        </w:rPr>
        <w:t>fair use</w:t>
      </w:r>
      <w:r>
        <w:rPr>
          <w:b/>
          <w:i w:val="0"/>
          <w:smallCaps w:val="0"/>
          <w:strike w:val="0"/>
          <w:sz w:val="26"/>
          <w:u w:val="none"/>
        </w:rPr>
        <w:t xml:space="preserve">.” </w:t>
      </w:r>
    </w:p>
    <w:p>
      <w:pPr>
        <w:spacing w:after="80"/>
      </w:pPr>
      <w:r>
        <w:rPr>
          <w:b/>
          <w:i w:val="0"/>
          <w:smallCaps w:val="0"/>
          <w:strike w:val="0"/>
          <w:sz w:val="26"/>
          <w:u w:val="none"/>
        </w:rPr>
        <w:t>Brown et al. 23</w:t>
      </w:r>
      <w:r>
        <w:rPr>
          <w:b w:val="0"/>
          <w:i w:val="0"/>
          <w:smallCaps w:val="0"/>
          <w:strike w:val="0"/>
          <w:u w:val="none"/>
        </w:rPr>
        <w:t xml:space="preserve"> – Intellectual Property Attorney and Corporate Partner at Seyfarth, J.D. from the University of California, Berkeley.</w:t>
      </w:r>
    </w:p>
    <w:p>
      <w:pPr>
        <w:spacing w:after="60"/>
      </w:pPr>
      <w:r>
        <w:rPr>
          <w:b w:val="0"/>
          <w:i w:val="0"/>
          <w:smallCaps w:val="0"/>
          <w:strike w:val="0"/>
          <w:u w:val="single"/>
        </w:rPr>
        <w:t>Arnold E. Brown, II</w:t>
      </w:r>
      <w:r>
        <w:rPr>
          <w:b w:val="0"/>
          <w:i w:val="0"/>
          <w:smallCaps w:val="0"/>
          <w:strike w:val="0"/>
          <w:u w:val="none"/>
        </w:rPr>
        <w:t xml:space="preserve">, </w:t>
      </w:r>
      <w:r>
        <w:rPr>
          <w:b w:val="0"/>
          <w:i w:val="0"/>
          <w:smallCaps w:val="0"/>
          <w:strike w:val="0"/>
          <w:u w:val="single"/>
        </w:rPr>
        <w:t>Kenneth Wilton</w:t>
      </w:r>
      <w:r>
        <w:rPr>
          <w:b w:val="0"/>
          <w:i w:val="0"/>
          <w:smallCaps w:val="0"/>
          <w:strike w:val="0"/>
          <w:u w:val="none"/>
        </w:rPr>
        <w:t xml:space="preserve">, Intellectual Property Attorney at Seyfarth, J.D. from the University of California College of the Law, </w:t>
      </w:r>
      <w:r>
        <w:rPr>
          <w:b w:val="0"/>
          <w:i w:val="0"/>
          <w:smallCaps w:val="0"/>
          <w:strike w:val="0"/>
          <w:u w:val="single"/>
        </w:rPr>
        <w:t>Joseph Myers</w:t>
      </w:r>
      <w:r>
        <w:rPr>
          <w:b w:val="0"/>
          <w:i w:val="0"/>
          <w:smallCaps w:val="0"/>
          <w:strike w:val="0"/>
          <w:u w:val="none"/>
        </w:rPr>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pPr>
        <w:spacing w:after="60"/>
      </w:pPr>
      <w:r>
        <w:rPr>
          <w:b w:val="0"/>
          <w:i w:val="0"/>
          <w:smallCaps w:val="0"/>
          <w:strike w:val="0"/>
          <w:sz w:val="22"/>
          <w:u w:val="single"/>
        </w:rPr>
        <w:t xml:space="preserve">In American Society for Testing and Materials </w:t>
      </w:r>
      <w:r>
        <w:rPr>
          <w:b w:val="0"/>
          <w:i w:val="0"/>
          <w:smallCaps w:val="0"/>
          <w:strike w:val="0"/>
          <w:u w:val="none"/>
        </w:rPr>
        <w:t>(</w:t>
      </w:r>
      <w:r>
        <w:rPr>
          <w:b/>
          <w:i w:val="0"/>
          <w:smallCaps w:val="0"/>
          <w:strike w:val="0"/>
          <w:sz w:val="22"/>
          <w:u w:val="single"/>
        </w:rPr>
        <w:t>ASTM</w:t>
      </w:r>
      <w:r>
        <w:rPr>
          <w:b w:val="0"/>
          <w:i w:val="0"/>
          <w:smallCaps w:val="0"/>
          <w:strike w:val="0"/>
          <w:u w:val="none"/>
        </w:rPr>
        <w:t xml:space="preserve">), </w:t>
      </w:r>
      <w:r>
        <w:rPr>
          <w:b w:val="0"/>
          <w:i w:val="0"/>
          <w:smallCaps w:val="0"/>
          <w:strike w:val="0"/>
          <w:sz w:val="22"/>
          <w:u w:val="single"/>
        </w:rPr>
        <w:t>et al. v. Public.Resource.Org, Inc</w:t>
      </w:r>
      <w:r>
        <w:rPr>
          <w:b w:val="0"/>
          <w:i w:val="0"/>
          <w:smallCaps w:val="0"/>
          <w:strike w:val="0"/>
          <w:u w:val="none"/>
        </w:rPr>
        <w:t>. (</w:t>
      </w:r>
      <w:r>
        <w:rPr>
          <w:b/>
          <w:i w:val="0"/>
          <w:smallCaps w:val="0"/>
          <w:strike w:val="0"/>
          <w:sz w:val="22"/>
          <w:u w:val="single"/>
        </w:rPr>
        <w:t>PRO</w:t>
      </w:r>
      <w:r>
        <w:rPr>
          <w:b w:val="0"/>
          <w:i w:val="0"/>
          <w:smallCaps w:val="0"/>
          <w:strike w:val="0"/>
          <w:u w:val="none"/>
        </w:rPr>
        <w:t xml:space="preserve">), 82 F.4th 1262 (D.C. Cir. 2023), </w:t>
      </w:r>
      <w:r>
        <w:rPr>
          <w:b w:val="0"/>
          <w:i w:val="0"/>
          <w:smallCaps w:val="0"/>
          <w:strike w:val="0"/>
          <w:sz w:val="22"/>
          <w:u w:val="single"/>
        </w:rPr>
        <w:t>the plaintiffs</w:t>
      </w:r>
      <w:r>
        <w:rPr>
          <w:b w:val="0"/>
          <w:i w:val="0"/>
          <w:smallCaps w:val="0"/>
          <w:strike w:val="0"/>
          <w:u w:val="none"/>
        </w:rPr>
        <w:t xml:space="preserve">, ASTM, National Fire Protection Association (NFPA), and American Society of Heating, Refrigerating and Air Conditioning Engineers (ASHRAE), </w:t>
      </w:r>
      <w:r>
        <w:rPr>
          <w:b w:val="0"/>
          <w:i w:val="0"/>
          <w:smallCaps w:val="0"/>
          <w:strike w:val="0"/>
          <w:sz w:val="22"/>
          <w:u w:val="single"/>
        </w:rPr>
        <w:t xml:space="preserve">are </w:t>
      </w:r>
      <w:r>
        <w:rPr>
          <w:b/>
          <w:i w:val="0"/>
          <w:smallCaps w:val="0"/>
          <w:strike w:val="0"/>
          <w:sz w:val="22"/>
          <w:u w:val="single"/>
        </w:rPr>
        <w:t>s</w:t>
      </w:r>
      <w:r>
        <w:rPr>
          <w:b w:val="0"/>
          <w:i w:val="0"/>
          <w:smallCaps w:val="0"/>
          <w:strike w:val="0"/>
          <w:sz w:val="22"/>
          <w:u w:val="single"/>
        </w:rPr>
        <w:t xml:space="preserve">tandards </w:t>
      </w:r>
      <w:r>
        <w:rPr>
          <w:b/>
          <w:i w:val="0"/>
          <w:smallCaps w:val="0"/>
          <w:strike w:val="0"/>
          <w:sz w:val="22"/>
          <w:u w:val="single"/>
        </w:rPr>
        <w:t>d</w:t>
      </w:r>
      <w:r>
        <w:rPr>
          <w:b w:val="0"/>
          <w:i w:val="0"/>
          <w:smallCaps w:val="0"/>
          <w:strike w:val="0"/>
          <w:sz w:val="22"/>
          <w:u w:val="single"/>
        </w:rPr>
        <w:t>evelopment organizations that</w:t>
      </w:r>
      <w:r>
        <w:rPr>
          <w:b w:val="0"/>
          <w:i w:val="0"/>
          <w:smallCaps w:val="0"/>
          <w:strike w:val="0"/>
          <w:u w:val="none"/>
        </w:rPr>
        <w:t xml:space="preserve"> create and </w:t>
      </w:r>
      <w:r>
        <w:rPr>
          <w:b w:val="0"/>
          <w:i w:val="0"/>
          <w:smallCaps w:val="0"/>
          <w:strike w:val="0"/>
          <w:sz w:val="22"/>
          <w:u w:val="single"/>
        </w:rPr>
        <w:t xml:space="preserve">own copyrights for </w:t>
      </w:r>
      <w:r>
        <w:rPr>
          <w:b/>
          <w:i w:val="0"/>
          <w:smallCaps w:val="0"/>
          <w:strike w:val="0"/>
          <w:sz w:val="22"/>
          <w:u w:val="single"/>
        </w:rPr>
        <w:t>technical standards</w:t>
      </w:r>
      <w:r>
        <w:rPr>
          <w:b w:val="0"/>
          <w:i w:val="0"/>
          <w:smallCaps w:val="0"/>
          <w:strike w:val="0"/>
          <w:sz w:val="22"/>
          <w:u w:val="single"/>
        </w:rPr>
        <w:t xml:space="preserve"> that establish </w:t>
      </w:r>
      <w:r>
        <w:rPr>
          <w:b/>
          <w:i w:val="0"/>
          <w:smallCaps w:val="0"/>
          <w:strike w:val="0"/>
          <w:sz w:val="22"/>
          <w:u w:val="single"/>
        </w:rPr>
        <w:t>best practices</w:t>
      </w:r>
      <w:r>
        <w:rPr>
          <w:b w:val="0"/>
          <w:i w:val="0"/>
          <w:smallCaps w:val="0"/>
          <w:strike w:val="0"/>
          <w:sz w:val="22"/>
          <w:u w:val="single"/>
        </w:rPr>
        <w:t xml:space="preserve"> for various industries and products</w:t>
      </w:r>
      <w:r>
        <w:rPr>
          <w:b w:val="0"/>
          <w:i w:val="0"/>
          <w:smallCaps w:val="0"/>
          <w:strike w:val="0"/>
          <w:u w:val="none"/>
        </w:rPr>
        <w:t xml:space="preserve">, including fire safety, electrical systems, and HVAC technologies. </w:t>
      </w:r>
      <w:r>
        <w:rPr>
          <w:b w:val="0"/>
          <w:i w:val="0"/>
          <w:smallCaps w:val="0"/>
          <w:strike w:val="0"/>
          <w:sz w:val="22"/>
          <w:u w:val="single"/>
        </w:rPr>
        <w:t>These standards</w:t>
      </w:r>
      <w:r>
        <w:rPr>
          <w:b w:val="0"/>
          <w:i w:val="0"/>
          <w:smallCaps w:val="0"/>
          <w:strike w:val="0"/>
          <w:u w:val="none"/>
        </w:rPr>
        <w:t xml:space="preserve"> often </w:t>
      </w:r>
      <w:r>
        <w:rPr>
          <w:b w:val="0"/>
          <w:i w:val="0"/>
          <w:smallCaps w:val="0"/>
          <w:strike w:val="0"/>
          <w:sz w:val="22"/>
          <w:u w:val="single"/>
        </w:rPr>
        <w:t xml:space="preserve">become </w:t>
      </w:r>
      <w:r>
        <w:rPr>
          <w:b/>
          <w:i w:val="0"/>
          <w:smallCaps w:val="0"/>
          <w:strike w:val="0"/>
          <w:sz w:val="22"/>
          <w:u w:val="single"/>
        </w:rPr>
        <w:t>legally binding</w:t>
      </w:r>
      <w:r>
        <w:rPr>
          <w:b w:val="0"/>
          <w:i w:val="0"/>
          <w:smallCaps w:val="0"/>
          <w:strike w:val="0"/>
          <w:u w:val="none"/>
        </w:rPr>
        <w:t xml:space="preserve"> </w:t>
      </w:r>
      <w:r>
        <w:rPr>
          <w:b w:val="0"/>
          <w:i w:val="0"/>
          <w:smallCaps w:val="0"/>
          <w:strike w:val="0"/>
          <w:sz w:val="22"/>
          <w:u w:val="single"/>
        </w:rPr>
        <w:t>when incorporated</w:t>
      </w:r>
      <w:r>
        <w:rPr>
          <w:b w:val="0"/>
          <w:i w:val="0"/>
          <w:smallCaps w:val="0"/>
          <w:strike w:val="0"/>
          <w:u w:val="none"/>
        </w:rPr>
        <w:t xml:space="preserve"> by reference </w:t>
      </w:r>
      <w:r>
        <w:rPr>
          <w:b w:val="0"/>
          <w:i w:val="0"/>
          <w:smallCaps w:val="0"/>
          <w:strike w:val="0"/>
          <w:sz w:val="22"/>
          <w:u w:val="single"/>
        </w:rPr>
        <w:t>into federal regulations</w:t>
      </w:r>
      <w:r>
        <w:rPr>
          <w:b w:val="0"/>
          <w:i w:val="0"/>
          <w:smallCaps w:val="0"/>
          <w:strike w:val="0"/>
          <w:u w:val="none"/>
        </w:rPr>
        <w:t xml:space="preserve">. However, they are not always easily accessible by the public, as they are not reproduced in the Code of Federal Regulations (CFR). </w:t>
      </w:r>
      <w:r>
        <w:rPr>
          <w:b w:val="0"/>
          <w:i w:val="0"/>
          <w:smallCaps w:val="0"/>
          <w:strike w:val="0"/>
          <w:sz w:val="22"/>
          <w:u w:val="single"/>
        </w:rPr>
        <w:t xml:space="preserve">Defendant PRO, a nonprofit organization with a mission to make government records and legal materials more accessible to the public, posted copies of hundreds of these regulation-incorporated standards on its website, allowing </w:t>
      </w:r>
      <w:r>
        <w:rPr>
          <w:b/>
          <w:i w:val="0"/>
          <w:smallCaps w:val="0"/>
          <w:strike w:val="0"/>
          <w:sz w:val="22"/>
          <w:u w:val="single"/>
        </w:rPr>
        <w:t>free public access</w:t>
      </w:r>
      <w:r>
        <w:rPr>
          <w:b w:val="0"/>
          <w:i w:val="0"/>
          <w:smallCaps w:val="0"/>
          <w:strike w:val="0"/>
          <w:u w:val="none"/>
        </w:rPr>
        <w:t xml:space="preserve">. </w:t>
      </w:r>
      <w:r>
        <w:rPr>
          <w:b w:val="0"/>
          <w:i w:val="0"/>
          <w:smallCaps w:val="0"/>
          <w:strike w:val="0"/>
          <w:sz w:val="22"/>
          <w:u w:val="single"/>
        </w:rPr>
        <w:t xml:space="preserve">This action led to the plaintiffs suing PRO for </w:t>
      </w:r>
      <w:r>
        <w:rPr>
          <w:b/>
          <w:i w:val="0"/>
          <w:smallCaps w:val="0"/>
          <w:strike w:val="0"/>
          <w:sz w:val="22"/>
          <w:u w:val="single"/>
        </w:rPr>
        <w:t>copyright infringement</w:t>
      </w:r>
      <w:r>
        <w:rPr>
          <w:b w:val="0"/>
          <w:i w:val="0"/>
          <w:smallCaps w:val="0"/>
          <w:strike w:val="0"/>
          <w:sz w:val="22"/>
          <w:u w:val="single"/>
        </w:rPr>
        <w:t xml:space="preserve"> in 2013</w:t>
      </w:r>
      <w:r>
        <w:rPr>
          <w:b w:val="0"/>
          <w:i w:val="0"/>
          <w:smallCaps w:val="0"/>
          <w:strike w:val="0"/>
          <w:u w:val="none"/>
        </w:rPr>
        <w:t xml:space="preserve">.  </w:t>
      </w:r>
      <w:r>
        <w:rPr>
          <w:b w:val="0"/>
          <w:i w:val="0"/>
          <w:smallCaps w:val="0"/>
          <w:strike w:val="0"/>
          <w:sz w:val="22"/>
          <w:u w:val="single"/>
        </w:rPr>
        <w:t>PRO’s primary defense was based on “</w:t>
      </w:r>
      <w:r>
        <w:rPr>
          <w:b/>
          <w:i w:val="0"/>
          <w:smallCaps w:val="0"/>
          <w:strike w:val="0"/>
          <w:sz w:val="22"/>
          <w:u w:val="single"/>
        </w:rPr>
        <w:t>fair use</w:t>
      </w:r>
      <w:r>
        <w:rPr>
          <w:b w:val="0"/>
          <w:i w:val="0"/>
          <w:smallCaps w:val="0"/>
          <w:strike w:val="0"/>
          <w:sz w:val="22"/>
          <w:u w:val="single"/>
        </w:rPr>
        <w:t xml:space="preserve">,” which allows for </w:t>
      </w:r>
      <w:r>
        <w:rPr>
          <w:b/>
          <w:i w:val="0"/>
          <w:smallCaps w:val="0"/>
          <w:strike w:val="0"/>
          <w:sz w:val="22"/>
          <w:u w:val="single"/>
        </w:rPr>
        <w:t>unauthorized copying</w:t>
      </w:r>
      <w:r>
        <w:rPr>
          <w:b w:val="0"/>
          <w:i w:val="0"/>
          <w:smallCaps w:val="0"/>
          <w:strike w:val="0"/>
          <w:sz w:val="22"/>
          <w:u w:val="single"/>
        </w:rPr>
        <w:t xml:space="preserve"> when the four factors codified at 17 U.S.C. § 107 weigh in favor of finding the defendant’s copying to be “fair.”</w:t>
      </w:r>
    </w:p>
    <w:p>
      <w:pPr>
        <w:spacing w:after="60"/>
      </w:pPr>
      <w:r>
        <w:rPr>
          <w:b w:val="0"/>
          <w:i w:val="0"/>
          <w:smallCaps w:val="0"/>
          <w:strike w:val="0"/>
          <w:sz w:val="22"/>
          <w:u w:val="single"/>
        </w:rPr>
        <w:t xml:space="preserve">After </w:t>
      </w:r>
      <w:r>
        <w:rPr>
          <w:b/>
          <w:i w:val="0"/>
          <w:smallCaps w:val="0"/>
          <w:strike w:val="0"/>
          <w:sz w:val="22"/>
          <w:u w:val="single"/>
        </w:rPr>
        <w:t>years of legal proceedings</w:t>
      </w:r>
      <w:r>
        <w:rPr>
          <w:b w:val="0"/>
          <w:i w:val="0"/>
          <w:smallCaps w:val="0"/>
          <w:strike w:val="0"/>
          <w:u w:val="none"/>
        </w:rPr>
        <w:t xml:space="preserve">, </w:t>
      </w:r>
      <w:r>
        <w:rPr>
          <w:b w:val="0"/>
          <w:i w:val="0"/>
          <w:smallCaps w:val="0"/>
          <w:strike w:val="0"/>
          <w:sz w:val="22"/>
          <w:u w:val="single"/>
        </w:rPr>
        <w:t xml:space="preserve">the District Court </w:t>
      </w:r>
      <w:r>
        <w:rPr>
          <w:b/>
          <w:i w:val="0"/>
          <w:smallCaps w:val="0"/>
          <w:strike w:val="0"/>
          <w:sz w:val="22"/>
          <w:u w:val="single"/>
        </w:rPr>
        <w:t>initially</w:t>
      </w:r>
      <w:r>
        <w:rPr>
          <w:b w:val="0"/>
          <w:i w:val="0"/>
          <w:smallCaps w:val="0"/>
          <w:strike w:val="0"/>
          <w:sz w:val="22"/>
          <w:u w:val="single"/>
        </w:rPr>
        <w:t xml:space="preserve"> </w:t>
      </w:r>
      <w:r>
        <w:rPr>
          <w:b/>
          <w:i w:val="0"/>
          <w:smallCaps w:val="0"/>
          <w:strike w:val="0"/>
          <w:sz w:val="22"/>
          <w:u w:val="single"/>
        </w:rPr>
        <w:t>ruled in favor of the plaintiffs</w:t>
      </w:r>
      <w:r>
        <w:rPr>
          <w:b w:val="0"/>
          <w:i w:val="0"/>
          <w:smallCaps w:val="0"/>
          <w:strike w:val="0"/>
          <w:u w:val="none"/>
        </w:rPr>
        <w:t xml:space="preserve">, finding that PRO had infringed nine standards and rejecting PRO's fair use defense. </w:t>
      </w:r>
      <w:r>
        <w:rPr>
          <w:b w:val="0"/>
          <w:i w:val="0"/>
          <w:smallCaps w:val="0"/>
          <w:strike w:val="0"/>
          <w:sz w:val="22"/>
          <w:u w:val="single"/>
        </w:rPr>
        <w:t xml:space="preserve">However, the DC Circuit </w:t>
      </w:r>
      <w:r>
        <w:rPr>
          <w:b/>
          <w:i w:val="0"/>
          <w:smallCaps w:val="0"/>
          <w:strike w:val="0"/>
          <w:sz w:val="22"/>
          <w:u w:val="single"/>
        </w:rPr>
        <w:t>reversed this decision</w:t>
      </w:r>
      <w:r>
        <w:rPr>
          <w:b w:val="0"/>
          <w:i w:val="0"/>
          <w:smallCaps w:val="0"/>
          <w:strike w:val="0"/>
          <w:sz w:val="22"/>
          <w:u w:val="single"/>
        </w:rPr>
        <w:t xml:space="preserve"> in </w:t>
      </w:r>
      <w:r>
        <w:rPr>
          <w:b/>
          <w:i w:val="0"/>
          <w:smallCaps w:val="0"/>
          <w:strike w:val="0"/>
          <w:sz w:val="22"/>
          <w:u w:val="single"/>
        </w:rPr>
        <w:t>2018</w:t>
      </w:r>
      <w:r>
        <w:rPr>
          <w:b w:val="0"/>
          <w:i w:val="0"/>
          <w:smallCaps w:val="0"/>
          <w:strike w:val="0"/>
          <w:u w:val="none"/>
        </w:rPr>
        <w:t xml:space="preserve">, leading to further examination of PRO’s fair use defense. </w:t>
      </w:r>
      <w:r>
        <w:rPr>
          <w:b w:val="0"/>
          <w:i w:val="0"/>
          <w:smallCaps w:val="0"/>
          <w:strike w:val="0"/>
          <w:sz w:val="22"/>
          <w:u w:val="single"/>
        </w:rPr>
        <w:t xml:space="preserve">The DC Circuit’s </w:t>
      </w:r>
      <w:r>
        <w:rPr>
          <w:b/>
          <w:i w:val="0"/>
          <w:smallCaps w:val="0"/>
          <w:strike w:val="0"/>
          <w:sz w:val="22"/>
          <w:u w:val="single"/>
        </w:rPr>
        <w:t>recent opinion</w:t>
      </w:r>
      <w:r>
        <w:rPr>
          <w:b w:val="0"/>
          <w:i w:val="0"/>
          <w:smallCaps w:val="0"/>
          <w:strike w:val="0"/>
          <w:sz w:val="22"/>
          <w:u w:val="single"/>
        </w:rPr>
        <w:t xml:space="preserve"> </w:t>
      </w:r>
      <w:r>
        <w:rPr>
          <w:b/>
          <w:i w:val="0"/>
          <w:smallCaps w:val="0"/>
          <w:strike w:val="0"/>
          <w:sz w:val="22"/>
          <w:u w:val="single"/>
        </w:rPr>
        <w:t>ultimately affirmed</w:t>
      </w:r>
      <w:r>
        <w:rPr>
          <w:b w:val="0"/>
          <w:i w:val="0"/>
          <w:smallCaps w:val="0"/>
          <w:strike w:val="0"/>
          <w:u w:val="none"/>
        </w:rPr>
        <w:t xml:space="preserve"> </w:t>
      </w:r>
      <w:r>
        <w:rPr>
          <w:b w:val="0"/>
          <w:i w:val="0"/>
          <w:smallCaps w:val="0"/>
          <w:strike w:val="0"/>
          <w:sz w:val="22"/>
          <w:u w:val="single"/>
        </w:rPr>
        <w:t xml:space="preserve">that PRO’s posting of standards incorporated by reference into law </w:t>
      </w:r>
      <w:r>
        <w:rPr>
          <w:b/>
          <w:i w:val="0"/>
          <w:smallCaps w:val="0"/>
          <w:strike w:val="0"/>
          <w:sz w:val="22"/>
          <w:u w:val="single"/>
        </w:rPr>
        <w:t>constituted fair use</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