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This decision is </w:t>
      </w:r>
      <w:r>
        <w:rPr>
          <w:b/>
          <w:i w:val="0"/>
          <w:smallCaps w:val="0"/>
          <w:strike w:val="0"/>
          <w:sz w:val="26"/>
          <w:u w:val="single"/>
        </w:rPr>
        <w:t>devastating</w:t>
      </w:r>
      <w:r>
        <w:rPr>
          <w:b/>
          <w:i w:val="0"/>
          <w:smallCaps w:val="0"/>
          <w:strike w:val="0"/>
          <w:sz w:val="26"/>
          <w:u w:val="none"/>
        </w:rPr>
        <w:t xml:space="preserve"> for the future of SDOs. It undermines their </w:t>
      </w:r>
      <w:r>
        <w:rPr>
          <w:b/>
          <w:i w:val="0"/>
          <w:smallCaps w:val="0"/>
          <w:strike w:val="0"/>
          <w:sz w:val="26"/>
          <w:u w:val="single"/>
        </w:rPr>
        <w:t>profitability</w:t>
      </w:r>
      <w:r>
        <w:rPr>
          <w:b/>
          <w:i w:val="0"/>
          <w:smallCaps w:val="0"/>
          <w:strike w:val="0"/>
          <w:sz w:val="26"/>
          <w:u w:val="none"/>
        </w:rPr>
        <w:t xml:space="preserve">, </w:t>
      </w:r>
      <w:r>
        <w:rPr>
          <w:b/>
          <w:i w:val="0"/>
          <w:smallCaps w:val="0"/>
          <w:strike w:val="0"/>
          <w:sz w:val="26"/>
          <w:u w:val="single"/>
        </w:rPr>
        <w:t>competitiveness</w:t>
      </w:r>
      <w:r>
        <w:rPr>
          <w:b/>
          <w:i w:val="0"/>
          <w:smallCaps w:val="0"/>
          <w:strike w:val="0"/>
          <w:sz w:val="26"/>
          <w:u w:val="none"/>
        </w:rPr>
        <w:t xml:space="preserve">, and </w:t>
      </w:r>
      <w:r>
        <w:rPr>
          <w:b/>
          <w:i w:val="0"/>
          <w:smallCaps w:val="0"/>
          <w:strike w:val="0"/>
          <w:sz w:val="26"/>
          <w:u w:val="single"/>
        </w:rPr>
        <w:t>innovativeness</w:t>
      </w:r>
      <w:r>
        <w:rPr>
          <w:b/>
          <w:i w:val="0"/>
          <w:smallCaps w:val="0"/>
          <w:strike w:val="0"/>
          <w:sz w:val="26"/>
          <w:u w:val="none"/>
        </w:rPr>
        <w:t xml:space="preserve">. </w:t>
      </w:r>
    </w:p>
    <w:p>
      <w:pPr>
        <w:spacing w:after="80"/>
      </w:pPr>
      <w:r>
        <w:rPr>
          <w:b/>
          <w:i w:val="0"/>
          <w:smallCaps w:val="0"/>
          <w:strike w:val="0"/>
          <w:sz w:val="26"/>
          <w:u w:val="none"/>
        </w:rPr>
        <w:t>Brown et al. 23</w:t>
      </w:r>
      <w:r>
        <w:rPr>
          <w:b w:val="0"/>
          <w:i w:val="0"/>
          <w:smallCaps w:val="0"/>
          <w:strike w:val="0"/>
          <w:u w:val="none"/>
        </w:rPr>
        <w:t xml:space="preserve"> – Intellectual Property Attorney and Corporate Partner at Seyfarth, J.D. from the University of California, Berkeley.</w:t>
      </w:r>
    </w:p>
    <w:p>
      <w:pPr>
        <w:spacing w:after="60"/>
      </w:pPr>
      <w:r>
        <w:rPr>
          <w:b w:val="0"/>
          <w:i w:val="0"/>
          <w:smallCaps w:val="0"/>
          <w:strike w:val="0"/>
          <w:u w:val="single"/>
        </w:rPr>
        <w:t>Arnold E. Brown, II</w:t>
      </w:r>
      <w:r>
        <w:rPr>
          <w:b w:val="0"/>
          <w:i w:val="0"/>
          <w:smallCaps w:val="0"/>
          <w:strike w:val="0"/>
          <w:u w:val="none"/>
        </w:rPr>
        <w:t xml:space="preserve">, </w:t>
      </w:r>
      <w:r>
        <w:rPr>
          <w:b w:val="0"/>
          <w:i w:val="0"/>
          <w:smallCaps w:val="0"/>
          <w:strike w:val="0"/>
          <w:u w:val="single"/>
        </w:rPr>
        <w:t>Kenneth Wilton</w:t>
      </w:r>
      <w:r>
        <w:rPr>
          <w:b w:val="0"/>
          <w:i w:val="0"/>
          <w:smallCaps w:val="0"/>
          <w:strike w:val="0"/>
          <w:u w:val="none"/>
        </w:rPr>
        <w:t xml:space="preserve">, Intellectual Property Attorney at Seyfarth, J.D. from the University of California College of the Law, </w:t>
      </w:r>
      <w:r>
        <w:rPr>
          <w:b w:val="0"/>
          <w:i w:val="0"/>
          <w:smallCaps w:val="0"/>
          <w:strike w:val="0"/>
          <w:u w:val="single"/>
        </w:rPr>
        <w:t>Joseph Myers</w:t>
      </w:r>
      <w:r>
        <w:rPr>
          <w:b w:val="0"/>
          <w:i w:val="0"/>
          <w:smallCaps w:val="0"/>
          <w:strike w:val="0"/>
          <w:u w:val="none"/>
        </w:rPr>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pPr>
        <w:spacing w:after="60"/>
      </w:pPr>
      <w:r>
        <w:rPr>
          <w:b w:val="0"/>
          <w:i w:val="0"/>
          <w:smallCaps w:val="0"/>
          <w:strike w:val="0"/>
          <w:sz w:val="22"/>
          <w:u w:val="single"/>
        </w:rPr>
        <w:t>The Court concluded that when</w:t>
      </w:r>
      <w:r>
        <w:rPr>
          <w:b w:val="0"/>
          <w:i w:val="0"/>
          <w:smallCaps w:val="0"/>
          <w:strike w:val="0"/>
          <w:u w:val="none"/>
        </w:rPr>
        <w:t xml:space="preserve"> technical </w:t>
      </w:r>
      <w:r>
        <w:rPr>
          <w:b w:val="0"/>
          <w:i w:val="0"/>
          <w:smallCaps w:val="0"/>
          <w:strike w:val="0"/>
          <w:sz w:val="22"/>
          <w:u w:val="single"/>
        </w:rPr>
        <w:t xml:space="preserve">standards are incorporated into law, their status effectively </w:t>
      </w:r>
      <w:r>
        <w:rPr>
          <w:b/>
          <w:i w:val="0"/>
          <w:smallCaps w:val="0"/>
          <w:strike w:val="0"/>
          <w:sz w:val="22"/>
          <w:u w:val="single"/>
        </w:rPr>
        <w:t>shifts from private to public</w:t>
      </w:r>
      <w:r>
        <w:rPr>
          <w:b w:val="0"/>
          <w:i w:val="0"/>
          <w:smallCaps w:val="0"/>
          <w:strike w:val="0"/>
          <w:u w:val="none"/>
        </w:rPr>
        <w:t xml:space="preserve">. </w:t>
      </w:r>
      <w:r>
        <w:rPr>
          <w:b w:val="0"/>
          <w:i w:val="0"/>
          <w:smallCaps w:val="0"/>
          <w:strike w:val="0"/>
          <w:sz w:val="22"/>
          <w:u w:val="single"/>
        </w:rPr>
        <w:t xml:space="preserve">For standards organizations, this </w:t>
      </w:r>
      <w:r>
        <w:rPr>
          <w:b/>
          <w:i w:val="0"/>
          <w:smallCaps w:val="0"/>
          <w:strike w:val="0"/>
          <w:sz w:val="22"/>
          <w:u w:val="single"/>
        </w:rPr>
        <w:t>poses several implications</w:t>
      </w:r>
      <w:r>
        <w:rPr>
          <w:b w:val="0"/>
          <w:i w:val="0"/>
          <w:smallCaps w:val="0"/>
          <w:strike w:val="0"/>
          <w:sz w:val="22"/>
          <w:u w:val="single"/>
        </w:rPr>
        <w:t>:</w:t>
      </w:r>
    </w:p>
    <w:p>
      <w:pPr>
        <w:spacing w:after="60"/>
      </w:pPr>
      <w:r>
        <w:rPr>
          <w:b/>
          <w:i w:val="0"/>
          <w:smallCaps w:val="0"/>
          <w:strike w:val="0"/>
          <w:sz w:val="22"/>
          <w:u w:val="single"/>
        </w:rPr>
        <w:t>Financial Impact</w:t>
      </w:r>
      <w:r>
        <w:rPr>
          <w:b w:val="0"/>
          <w:i w:val="0"/>
          <w:smallCaps w:val="0"/>
          <w:strike w:val="0"/>
          <w:u w:val="none"/>
        </w:rPr>
        <w:t xml:space="preserve">: </w:t>
      </w:r>
      <w:r>
        <w:rPr>
          <w:b w:val="0"/>
          <w:i w:val="0"/>
          <w:smallCaps w:val="0"/>
          <w:strike w:val="0"/>
          <w:sz w:val="22"/>
          <w:u w:val="single"/>
        </w:rPr>
        <w:t>Standards organizations</w:t>
      </w:r>
      <w:r>
        <w:rPr>
          <w:b w:val="0"/>
          <w:i w:val="0"/>
          <w:smallCaps w:val="0"/>
          <w:strike w:val="0"/>
          <w:u w:val="none"/>
        </w:rPr>
        <w:t xml:space="preserve"> that </w:t>
      </w:r>
      <w:r>
        <w:rPr>
          <w:b w:val="0"/>
          <w:i w:val="0"/>
          <w:smallCaps w:val="0"/>
          <w:strike w:val="0"/>
          <w:sz w:val="22"/>
          <w:u w:val="single"/>
        </w:rPr>
        <w:t xml:space="preserve">rely on copyright licensing fees to </w:t>
      </w:r>
      <w:r>
        <w:rPr>
          <w:b/>
          <w:i w:val="0"/>
          <w:smallCaps w:val="0"/>
          <w:strike w:val="0"/>
          <w:sz w:val="22"/>
          <w:u w:val="single"/>
        </w:rPr>
        <w:t>fund their organization’s activities</w:t>
      </w:r>
      <w:r>
        <w:rPr>
          <w:b w:val="0"/>
          <w:i w:val="0"/>
          <w:smallCaps w:val="0"/>
          <w:strike w:val="0"/>
          <w:u w:val="none"/>
        </w:rPr>
        <w:t>, or whose non-public standards, and access thereto, are the major driving force behind</w:t>
      </w:r>
      <w:r>
        <w:rPr>
          <w:b w:val="0"/>
          <w:i w:val="0"/>
          <w:smallCaps w:val="0"/>
          <w:strike w:val="0"/>
          <w:sz w:val="22"/>
          <w:u w:val="single"/>
        </w:rPr>
        <w:t xml:space="preserve"> membership may face a </w:t>
      </w:r>
      <w:r>
        <w:rPr>
          <w:b/>
          <w:i w:val="0"/>
          <w:smallCaps w:val="0"/>
          <w:strike w:val="0"/>
          <w:sz w:val="22"/>
          <w:u w:val="single"/>
        </w:rPr>
        <w:t>reduction in revenue</w:t>
      </w:r>
      <w:r>
        <w:rPr>
          <w:b w:val="0"/>
          <w:i w:val="0"/>
          <w:smallCaps w:val="0"/>
          <w:strike w:val="0"/>
          <w:u w:val="none"/>
        </w:rPr>
        <w:t xml:space="preserve"> </w:t>
      </w:r>
      <w:r>
        <w:rPr>
          <w:b w:val="0"/>
          <w:i w:val="0"/>
          <w:smallCaps w:val="0"/>
          <w:strike w:val="0"/>
          <w:sz w:val="22"/>
          <w:u w:val="single"/>
        </w:rPr>
        <w:t>if circumstances result in free public access to their specifications.</w:t>
      </w:r>
    </w:p>
    <w:p>
      <w:pPr>
        <w:spacing w:after="60"/>
      </w:pPr>
      <w:r>
        <w:rPr>
          <w:b/>
          <w:i w:val="0"/>
          <w:smallCaps w:val="0"/>
          <w:strike w:val="0"/>
          <w:sz w:val="22"/>
          <w:u w:val="single"/>
        </w:rPr>
        <w:t>Updates and Timeliness</w:t>
      </w:r>
      <w:r>
        <w:rPr>
          <w:b w:val="0"/>
          <w:i w:val="0"/>
          <w:smallCaps w:val="0"/>
          <w:strike w:val="0"/>
          <w:u w:val="none"/>
        </w:rPr>
        <w:t xml:space="preserve">: When public-access versions of standards are not published in coordination with the standards organization, </w:t>
      </w:r>
      <w:r>
        <w:rPr>
          <w:b w:val="0"/>
          <w:i w:val="0"/>
          <w:smallCaps w:val="0"/>
          <w:strike w:val="0"/>
          <w:sz w:val="22"/>
          <w:u w:val="single"/>
        </w:rPr>
        <w:t xml:space="preserve">such versions of standards could be </w:t>
      </w:r>
      <w:r>
        <w:rPr>
          <w:b/>
          <w:i w:val="0"/>
          <w:smallCaps w:val="0"/>
          <w:strike w:val="0"/>
          <w:sz w:val="22"/>
          <w:u w:val="single"/>
        </w:rPr>
        <w:t>out of sync</w:t>
      </w:r>
      <w:r>
        <w:rPr>
          <w:b w:val="0"/>
          <w:i w:val="0"/>
          <w:smallCaps w:val="0"/>
          <w:strike w:val="0"/>
          <w:sz w:val="22"/>
          <w:u w:val="single"/>
        </w:rPr>
        <w:t xml:space="preserve"> with a standards organization’s most current non-public standards</w:t>
      </w:r>
      <w:r>
        <w:rPr>
          <w:b w:val="0"/>
          <w:i w:val="0"/>
          <w:smallCaps w:val="0"/>
          <w:strike w:val="0"/>
          <w:u w:val="none"/>
        </w:rPr>
        <w:t xml:space="preserve">, or errata. </w:t>
      </w:r>
      <w:r>
        <w:rPr>
          <w:b w:val="0"/>
          <w:i w:val="0"/>
          <w:smallCaps w:val="0"/>
          <w:strike w:val="0"/>
          <w:sz w:val="22"/>
          <w:u w:val="single"/>
        </w:rPr>
        <w:t xml:space="preserve">This could influence the </w:t>
      </w:r>
      <w:r>
        <w:rPr>
          <w:b/>
          <w:i w:val="0"/>
          <w:smallCaps w:val="0"/>
          <w:strike w:val="0"/>
          <w:sz w:val="22"/>
          <w:u w:val="single"/>
        </w:rPr>
        <w:t>adoption</w:t>
      </w:r>
      <w:r>
        <w:rPr>
          <w:b w:val="0"/>
          <w:i w:val="0"/>
          <w:smallCaps w:val="0"/>
          <w:strike w:val="0"/>
          <w:sz w:val="22"/>
          <w:u w:val="single"/>
        </w:rPr>
        <w:t xml:space="preserve">, </w:t>
      </w:r>
      <w:r>
        <w:rPr>
          <w:b/>
          <w:i w:val="0"/>
          <w:smallCaps w:val="0"/>
          <w:strike w:val="0"/>
          <w:sz w:val="22"/>
          <w:u w:val="single"/>
        </w:rPr>
        <w:t>implementation</w:t>
      </w:r>
      <w:r>
        <w:rPr>
          <w:b w:val="0"/>
          <w:i w:val="0"/>
          <w:smallCaps w:val="0"/>
          <w:strike w:val="0"/>
          <w:sz w:val="22"/>
          <w:u w:val="single"/>
        </w:rPr>
        <w:t xml:space="preserve">, </w:t>
      </w:r>
      <w:r>
        <w:rPr>
          <w:b/>
          <w:i w:val="0"/>
          <w:smallCaps w:val="0"/>
          <w:strike w:val="0"/>
          <w:sz w:val="22"/>
          <w:u w:val="single"/>
        </w:rPr>
        <w:t>relevance</w:t>
      </w:r>
      <w:r>
        <w:rPr>
          <w:b w:val="0"/>
          <w:i w:val="0"/>
          <w:smallCaps w:val="0"/>
          <w:strike w:val="0"/>
          <w:sz w:val="22"/>
          <w:u w:val="single"/>
        </w:rPr>
        <w:t xml:space="preserve">, and </w:t>
      </w:r>
      <w:r>
        <w:rPr>
          <w:b/>
          <w:i w:val="0"/>
          <w:smallCaps w:val="0"/>
          <w:strike w:val="0"/>
          <w:sz w:val="22"/>
          <w:u w:val="single"/>
        </w:rPr>
        <w:t>reliability</w:t>
      </w:r>
      <w:r>
        <w:rPr>
          <w:b w:val="0"/>
          <w:i w:val="0"/>
          <w:smallCaps w:val="0"/>
          <w:strike w:val="0"/>
          <w:sz w:val="22"/>
          <w:u w:val="single"/>
        </w:rPr>
        <w:t xml:space="preserve"> of standards.</w:t>
      </w:r>
    </w:p>
    <w:p>
      <w:pPr>
        <w:spacing w:after="60"/>
      </w:pPr>
      <w:r>
        <w:rPr>
          <w:b/>
          <w:i w:val="0"/>
          <w:smallCaps w:val="0"/>
          <w:strike w:val="0"/>
          <w:sz w:val="22"/>
          <w:u w:val="single"/>
        </w:rPr>
        <w:t>Incentives for Contribution</w:t>
      </w:r>
      <w:r>
        <w:rPr>
          <w:b w:val="0"/>
          <w:i w:val="0"/>
          <w:smallCaps w:val="0"/>
          <w:strike w:val="0"/>
          <w:u w:val="none"/>
        </w:rPr>
        <w:t xml:space="preserve">: </w:t>
      </w:r>
      <w:r>
        <w:rPr>
          <w:b w:val="0"/>
          <w:i w:val="0"/>
          <w:smallCaps w:val="0"/>
          <w:strike w:val="0"/>
          <w:sz w:val="22"/>
          <w:u w:val="single"/>
        </w:rPr>
        <w:t>The ruling may reduce incentives for standards organizations</w:t>
      </w:r>
      <w:r>
        <w:rPr>
          <w:b w:val="0"/>
          <w:i w:val="0"/>
          <w:smallCaps w:val="0"/>
          <w:strike w:val="0"/>
          <w:u w:val="none"/>
        </w:rPr>
        <w:t xml:space="preserve"> and the participants in standards organizations </w:t>
      </w:r>
      <w:r>
        <w:rPr>
          <w:b w:val="0"/>
          <w:i w:val="0"/>
          <w:smallCaps w:val="0"/>
          <w:strike w:val="0"/>
          <w:sz w:val="22"/>
          <w:u w:val="single"/>
        </w:rPr>
        <w:t>to invest in the development of standards</w:t>
      </w:r>
      <w:r>
        <w:rPr>
          <w:b w:val="0"/>
          <w:i w:val="0"/>
          <w:smallCaps w:val="0"/>
          <w:strike w:val="0"/>
          <w:u w:val="none"/>
        </w:rPr>
        <w:t xml:space="preserve"> and overall standardization efforts, </w:t>
      </w:r>
      <w:r>
        <w:rPr>
          <w:b w:val="0"/>
          <w:i w:val="0"/>
          <w:smallCaps w:val="0"/>
          <w:strike w:val="0"/>
          <w:sz w:val="22"/>
          <w:u w:val="single"/>
        </w:rPr>
        <w:t>as they could lose control over their creations</w:t>
      </w:r>
      <w:r>
        <w:rPr>
          <w:b w:val="0"/>
          <w:i w:val="0"/>
          <w:smallCaps w:val="0"/>
          <w:strike w:val="0"/>
          <w:u w:val="none"/>
        </w:rPr>
        <w:t xml:space="preserve"> when deemed “required under law or regulation.”</w:t>
      </w:r>
    </w:p>
    <w:p>
      <w:pPr>
        <w:spacing w:after="60"/>
      </w:pPr>
      <w:r>
        <w:rPr>
          <w:b w:val="0"/>
          <w:i w:val="0"/>
          <w:smallCaps w:val="0"/>
          <w:strike w:val="0"/>
          <w:u w:val="none"/>
        </w:rPr>
        <w:t>The ASTM opinion raises the specter that when standards are incorporated into law, the risk of them being freely accessible to the public increases significantly. Standards organizations should carefully consider the legal implications and potential strategies to adapt to this changing landscape.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