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The status quo has not solved. Previous attempts at judicial remedies did not remedy the underlying issue.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Lipiz 19</w:t>
      </w:r>
      <w:r>
        <w:rPr>
          <w:b w:val="0"/>
          <w:i w:val="0"/>
          <w:smallCaps w:val="0"/>
          <w:strike w:val="0"/>
          <w:u w:val="none"/>
        </w:rPr>
        <w:t xml:space="preserve"> – J.D. Candidate at the University of California, Berkeley.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Julea Lipiz, “EYE SEE WHAT YOU’RE DOING: AN ANALYSIS OF ALLERGAN’S USE OF TRIBAL SOVEREIGN IMMUNITY TO EVADE IPR OF THEIR EYE PRODUCT, RESTASIS,” Berkeley Technology Law Review, https://btlj.org/data/articles2019/34_4/05_Lipiz_WEB.pdf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The Federal Circuit was correct in finding Allergan’s infamous use of tribal sovereign immunity to be inappropriate. However,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Federal Circuit decision </w:t>
      </w:r>
      <w:r>
        <w:rPr>
          <w:b/>
          <w:i w:val="0"/>
          <w:smallCaps w:val="0"/>
          <w:strike w:val="0"/>
          <w:sz w:val="22"/>
          <w:u w:val="single"/>
        </w:rPr>
        <w:t>did not address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>underlying issues present</w:t>
      </w:r>
      <w:r>
        <w:rPr>
          <w:b w:val="0"/>
          <w:i w:val="0"/>
          <w:smallCaps w:val="0"/>
          <w:strike w:val="0"/>
          <w:u w:val="none"/>
        </w:rPr>
        <w:t xml:space="preserve">. The opinion only looks at how FMC’s multi-factor balancing test weighs an agency adjudication. </w:t>
      </w:r>
      <w:r>
        <w:rPr>
          <w:b w:val="0"/>
          <w:i w:val="0"/>
          <w:smallCaps w:val="0"/>
          <w:strike w:val="0"/>
          <w:sz w:val="22"/>
          <w:u w:val="single"/>
        </w:rPr>
        <w:t>It doesn’t look at why certain agency adjudications have sovereign immunity to begin with</w:t>
      </w:r>
      <w:r>
        <w:rPr>
          <w:b w:val="0"/>
          <w:i w:val="0"/>
          <w:smallCaps w:val="0"/>
          <w:strike w:val="0"/>
          <w:u w:val="none"/>
        </w:rPr>
        <w:t>. Without an analysis of the underlying purposes, which often serve as “goals” guiding the inquiry, multi-factor tests such as those of FMC become somewhat suspect. If a judicial body doesn’t know the reason for each factor of a test and the weight each factor should be given, then the “weight” of each factor becomes arbitrary and open to discretion.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