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Technical standards </w:t>
      </w:r>
      <w:r>
        <w:rPr>
          <w:b/>
          <w:i w:val="0"/>
          <w:smallCaps w:val="0"/>
          <w:strike w:val="0"/>
          <w:sz w:val="26"/>
          <w:u w:val="none"/>
        </w:rPr>
        <w:t>created by</w:t>
      </w:r>
      <w:r>
        <w:rPr>
          <w:b/>
          <w:i w:val="0"/>
          <w:smallCaps w:val="0"/>
          <w:strike w:val="0"/>
          <w:sz w:val="26"/>
          <w:u w:val="none"/>
        </w:rPr>
        <w:t xml:space="preserve"> Standards Development Organizations </w:t>
      </w:r>
      <w:r>
        <w:rPr>
          <w:b/>
          <w:i w:val="0"/>
          <w:smallCaps w:val="0"/>
          <w:strike w:val="0"/>
          <w:sz w:val="26"/>
          <w:u w:val="none"/>
        </w:rPr>
        <w:t xml:space="preserve">(SDOs) </w:t>
      </w:r>
      <w:r>
        <w:rPr>
          <w:b/>
          <w:i w:val="0"/>
          <w:smallCaps w:val="0"/>
          <w:strike w:val="0"/>
          <w:sz w:val="26"/>
          <w:u w:val="none"/>
        </w:rPr>
        <w:t xml:space="preserve">can receive copyright </w:t>
      </w:r>
      <w:r>
        <w:rPr>
          <w:b/>
          <w:i w:val="0"/>
          <w:smallCaps w:val="0"/>
          <w:strike w:val="0"/>
          <w:sz w:val="26"/>
          <w:u w:val="none"/>
        </w:rPr>
        <w:t xml:space="preserve">protections when employed for </w:t>
      </w:r>
      <w:r>
        <w:rPr>
          <w:b/>
          <w:i w:val="0"/>
          <w:smallCaps w:val="0"/>
          <w:strike w:val="0"/>
          <w:sz w:val="26"/>
          <w:u w:val="single"/>
        </w:rPr>
        <w:t>private organizations</w:t>
      </w:r>
      <w:r>
        <w:rPr>
          <w:b/>
          <w:i w:val="0"/>
          <w:smallCaps w:val="0"/>
          <w:strike w:val="0"/>
          <w:sz w:val="26"/>
          <w:u w:val="none"/>
        </w:rPr>
        <w:t xml:space="preserve">, but </w:t>
      </w:r>
      <w:r>
        <w:rPr>
          <w:b/>
          <w:i w:val="0"/>
          <w:smallCaps w:val="0"/>
          <w:strike w:val="0"/>
          <w:sz w:val="26"/>
          <w:u w:val="none"/>
        </w:rPr>
        <w:t>in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/>
          <w:smallCaps w:val="0"/>
          <w:strike w:val="0"/>
          <w:sz w:val="26"/>
          <w:u w:val="none"/>
        </w:rPr>
        <w:t>American Society for Testing and Materials v. Public.Resource.Org</w:t>
      </w:r>
      <w:r>
        <w:rPr>
          <w:b/>
          <w:i w:val="0"/>
          <w:smallCaps w:val="0"/>
          <w:strike w:val="0"/>
          <w:sz w:val="26"/>
          <w:u w:val="none"/>
        </w:rPr>
        <w:t xml:space="preserve"> (ASTM), the </w:t>
      </w:r>
      <w:r>
        <w:rPr>
          <w:b/>
          <w:i w:val="0"/>
          <w:smallCaps w:val="0"/>
          <w:strike w:val="0"/>
          <w:sz w:val="26"/>
          <w:u w:val="none"/>
        </w:rPr>
        <w:t xml:space="preserve">D.C. </w:t>
      </w:r>
      <w:r>
        <w:rPr>
          <w:b/>
          <w:i w:val="0"/>
          <w:smallCaps w:val="0"/>
          <w:strike w:val="0"/>
          <w:sz w:val="26"/>
          <w:u w:val="none"/>
        </w:rPr>
        <w:t xml:space="preserve">Circuit Court </w:t>
      </w:r>
      <w:r>
        <w:rPr>
          <w:b/>
          <w:i w:val="0"/>
          <w:smallCaps w:val="0"/>
          <w:strike w:val="0"/>
          <w:sz w:val="26"/>
          <w:u w:val="single"/>
        </w:rPr>
        <w:t>overturned</w:t>
      </w:r>
      <w:r>
        <w:rPr>
          <w:b/>
          <w:i w:val="0"/>
          <w:smallCaps w:val="0"/>
          <w:strike w:val="0"/>
          <w:sz w:val="26"/>
          <w:u w:val="none"/>
        </w:rPr>
        <w:t xml:space="preserve"> the district court’s </w:t>
      </w:r>
      <w:r>
        <w:rPr>
          <w:b/>
          <w:i w:val="0"/>
          <w:smallCaps w:val="0"/>
          <w:strike w:val="0"/>
          <w:sz w:val="26"/>
          <w:u w:val="single"/>
        </w:rPr>
        <w:t>original decision</w:t>
      </w:r>
      <w:r>
        <w:rPr>
          <w:b/>
          <w:i w:val="0"/>
          <w:smallCaps w:val="0"/>
          <w:strike w:val="0"/>
          <w:sz w:val="26"/>
          <w:u w:val="none"/>
        </w:rPr>
        <w:t xml:space="preserve"> and found that this protection </w:t>
      </w:r>
      <w:r>
        <w:rPr>
          <w:b/>
          <w:i w:val="0"/>
          <w:smallCaps w:val="0"/>
          <w:strike w:val="0"/>
          <w:sz w:val="26"/>
          <w:u w:val="single"/>
        </w:rPr>
        <w:t>does not exist</w:t>
      </w:r>
      <w:r>
        <w:rPr>
          <w:b/>
          <w:i w:val="0"/>
          <w:smallCaps w:val="0"/>
          <w:strike w:val="0"/>
          <w:sz w:val="26"/>
          <w:u w:val="none"/>
        </w:rPr>
        <w:t xml:space="preserve"> when they are </w:t>
      </w:r>
      <w:r>
        <w:rPr>
          <w:b/>
          <w:i w:val="0"/>
          <w:smallCaps w:val="0"/>
          <w:strike w:val="0"/>
          <w:sz w:val="26"/>
          <w:u w:val="single"/>
        </w:rPr>
        <w:t>incorporated</w:t>
      </w:r>
      <w:r>
        <w:rPr>
          <w:b/>
          <w:i w:val="0"/>
          <w:smallCaps w:val="0"/>
          <w:strike w:val="0"/>
          <w:sz w:val="26"/>
          <w:u w:val="single"/>
        </w:rPr>
        <w:t xml:space="preserve"> into </w:t>
      </w:r>
      <w:r>
        <w:rPr>
          <w:b/>
          <w:i w:val="0"/>
          <w:smallCaps w:val="0"/>
          <w:strike w:val="0"/>
          <w:sz w:val="26"/>
          <w:u w:val="single"/>
        </w:rPr>
        <w:t xml:space="preserve">public </w:t>
      </w:r>
      <w:r>
        <w:rPr>
          <w:b/>
          <w:i w:val="0"/>
          <w:smallCaps w:val="0"/>
          <w:strike w:val="0"/>
          <w:sz w:val="26"/>
          <w:u w:val="single"/>
        </w:rPr>
        <w:t>law</w:t>
      </w:r>
      <w:r>
        <w:rPr>
          <w:b/>
          <w:i w:val="0"/>
          <w:smallCaps w:val="0"/>
          <w:strike w:val="0"/>
          <w:sz w:val="26"/>
          <w:u w:val="none"/>
        </w:rPr>
        <w:t xml:space="preserve"> by the government based on them being “</w:t>
      </w:r>
      <w:r>
        <w:rPr>
          <w:b/>
          <w:i w:val="0"/>
          <w:smallCaps w:val="0"/>
          <w:strike w:val="0"/>
          <w:sz w:val="26"/>
          <w:u w:val="single"/>
        </w:rPr>
        <w:t>fair use</w:t>
      </w:r>
      <w:r>
        <w:rPr>
          <w:b/>
          <w:i w:val="0"/>
          <w:smallCaps w:val="0"/>
          <w:strike w:val="0"/>
          <w:sz w:val="26"/>
          <w:u w:val="none"/>
        </w:rPr>
        <w:t xml:space="preserve">.”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Brown et al. 23</w:t>
      </w:r>
      <w:r>
        <w:rPr>
          <w:b w:val="0"/>
          <w:i w:val="0"/>
          <w:smallCaps w:val="0"/>
          <w:strike w:val="0"/>
          <w:u w:val="none"/>
        </w:rPr>
        <w:t xml:space="preserve"> – Intellectual Property Attorney and Corporate Partner at Seyfarth, J.D. from the University of California, Berkeley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Arnold E. Brown, II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Kenneth Wilton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Intellectual Property Attorney at Seyfarth, J.D. from the University of California College of the Law, </w:t>
      </w:r>
      <w:r>
        <w:rPr>
          <w:b w:val="0"/>
          <w:i w:val="0"/>
          <w:smallCaps w:val="0"/>
          <w:strike w:val="0"/>
          <w:u w:val="single"/>
        </w:rPr>
        <w:t>Joseph Myers</w:t>
      </w:r>
      <w:r>
        <w:rPr>
          <w:b w:val="0"/>
          <w:i w:val="0"/>
          <w:smallCaps w:val="0"/>
          <w:strike w:val="0"/>
          <w:u w:val="none"/>
        </w:rPr>
        <w:t>, Director of Innovation for the Intellectual Property Practice Group at Seyfarth, J.D. from Vanderbilt University, “</w:t>
      </w:r>
      <w:r>
        <w:rPr>
          <w:b w:val="0"/>
          <w:i w:val="0"/>
          <w:smallCaps w:val="0"/>
          <w:strike w:val="0"/>
          <w:u w:val="none"/>
        </w:rPr>
        <w:t>The District of Columbia Court of Appeals’ Recent Significant Legal Precedent Carries Implications for Standards Organizations,” Seyfarth, 12-19-2023, https://www.seyfarth.com/news-insights/the-district-of-columbia-court-of-appeals-recent-significant-legal-precedent-carries-implications-for-standards-organizations.html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 American Society for Testing and Materials </w:t>
      </w:r>
      <w:r>
        <w:rPr>
          <w:b w:val="0"/>
          <w:i w:val="0"/>
          <w:smallCaps w:val="0"/>
          <w:strike w:val="0"/>
          <w:u w:val="none"/>
        </w:rPr>
        <w:t>(</w:t>
      </w:r>
      <w:r>
        <w:rPr>
          <w:b/>
          <w:i w:val="0"/>
          <w:smallCaps w:val="0"/>
          <w:strike w:val="0"/>
          <w:sz w:val="22"/>
          <w:u w:val="single"/>
        </w:rPr>
        <w:t>ASTM</w:t>
      </w:r>
      <w:r>
        <w:rPr>
          <w:b w:val="0"/>
          <w:i w:val="0"/>
          <w:smallCaps w:val="0"/>
          <w:strike w:val="0"/>
          <w:u w:val="none"/>
        </w:rPr>
        <w:t xml:space="preserve">), </w:t>
      </w:r>
      <w:r>
        <w:rPr>
          <w:b w:val="0"/>
          <w:i w:val="0"/>
          <w:smallCaps w:val="0"/>
          <w:strike w:val="0"/>
          <w:sz w:val="22"/>
          <w:u w:val="single"/>
        </w:rPr>
        <w:t>et al. v. Public.Resource.Org, Inc</w:t>
      </w:r>
      <w:r>
        <w:rPr>
          <w:b w:val="0"/>
          <w:i w:val="0"/>
          <w:smallCaps w:val="0"/>
          <w:strike w:val="0"/>
          <w:u w:val="none"/>
        </w:rPr>
        <w:t>. (</w:t>
      </w:r>
      <w:r>
        <w:rPr>
          <w:b/>
          <w:i w:val="0"/>
          <w:smallCaps w:val="0"/>
          <w:strike w:val="0"/>
          <w:sz w:val="22"/>
          <w:u w:val="single"/>
        </w:rPr>
        <w:t>PRO</w:t>
      </w:r>
      <w:r>
        <w:rPr>
          <w:b w:val="0"/>
          <w:i w:val="0"/>
          <w:smallCaps w:val="0"/>
          <w:strike w:val="0"/>
          <w:u w:val="none"/>
        </w:rPr>
        <w:t xml:space="preserve">), 82 F.4th 1262 (D.C. Cir. 2023), </w:t>
      </w:r>
      <w:r>
        <w:rPr>
          <w:b w:val="0"/>
          <w:i w:val="0"/>
          <w:smallCaps w:val="0"/>
          <w:strike w:val="0"/>
          <w:sz w:val="22"/>
          <w:u w:val="single"/>
        </w:rPr>
        <w:t>the plaintiffs</w:t>
      </w:r>
      <w:r>
        <w:rPr>
          <w:b w:val="0"/>
          <w:i w:val="0"/>
          <w:smallCaps w:val="0"/>
          <w:strike w:val="0"/>
          <w:u w:val="none"/>
        </w:rPr>
        <w:t xml:space="preserve">, ASTM, National Fire Protection Association (NFPA), and American Society of Heating, Refrigerating and Air Conditioning Engineers (ASHRAE),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tandards </w:t>
      </w:r>
      <w:r>
        <w:rPr>
          <w:b/>
          <w:i w:val="0"/>
          <w:smallCaps w:val="0"/>
          <w:strike w:val="0"/>
          <w:sz w:val="22"/>
          <w:u w:val="single"/>
        </w:rPr>
        <w:t>d</w:t>
      </w:r>
      <w:r>
        <w:rPr>
          <w:b w:val="0"/>
          <w:i w:val="0"/>
          <w:smallCaps w:val="0"/>
          <w:strike w:val="0"/>
          <w:sz w:val="22"/>
          <w:u w:val="single"/>
        </w:rPr>
        <w:t>evelopment organizations that</w:t>
      </w:r>
      <w:r>
        <w:rPr>
          <w:b w:val="0"/>
          <w:i w:val="0"/>
          <w:smallCaps w:val="0"/>
          <w:strike w:val="0"/>
          <w:u w:val="none"/>
        </w:rPr>
        <w:t xml:space="preserve"> create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own copyrights for </w:t>
      </w:r>
      <w:r>
        <w:rPr>
          <w:b/>
          <w:i w:val="0"/>
          <w:smallCaps w:val="0"/>
          <w:strike w:val="0"/>
          <w:sz w:val="22"/>
          <w:u w:val="single"/>
        </w:rPr>
        <w:t>technical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establish </w:t>
      </w:r>
      <w:r>
        <w:rPr>
          <w:b/>
          <w:i w:val="0"/>
          <w:smallCaps w:val="0"/>
          <w:strike w:val="0"/>
          <w:sz w:val="22"/>
          <w:u w:val="single"/>
        </w:rPr>
        <w:t>best practices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various industries and products</w:t>
      </w:r>
      <w:r>
        <w:rPr>
          <w:b w:val="0"/>
          <w:i w:val="0"/>
          <w:smallCaps w:val="0"/>
          <w:strike w:val="0"/>
          <w:u w:val="none"/>
        </w:rPr>
        <w:t xml:space="preserve">, including fire safety, electrical systems, and HVAC technologies. </w:t>
      </w:r>
      <w:r>
        <w:rPr>
          <w:b w:val="0"/>
          <w:i w:val="0"/>
          <w:smallCaps w:val="0"/>
          <w:strike w:val="0"/>
          <w:sz w:val="22"/>
          <w:u w:val="single"/>
        </w:rPr>
        <w:t>These standards</w:t>
      </w:r>
      <w:r>
        <w:rPr>
          <w:b w:val="0"/>
          <w:i w:val="0"/>
          <w:smallCaps w:val="0"/>
          <w:strike w:val="0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become </w:t>
      </w:r>
      <w:r>
        <w:rPr>
          <w:b/>
          <w:i w:val="0"/>
          <w:smallCaps w:val="0"/>
          <w:strike w:val="0"/>
          <w:sz w:val="22"/>
          <w:u w:val="single"/>
        </w:rPr>
        <w:t>legally binding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when incorporated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into federal regulations</w:t>
      </w:r>
      <w:r>
        <w:rPr>
          <w:b w:val="0"/>
          <w:i w:val="0"/>
          <w:smallCaps w:val="0"/>
          <w:strike w:val="0"/>
          <w:u w:val="none"/>
        </w:rPr>
        <w:t xml:space="preserve">. However, they are not always easily accessible by the public, as they are not reproduced in the Code of Federal Regulations (CFR).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Defendant PRO, a nonprofit organization with a mission to make government records and legal materials more accessible to the public, posted copies of hundreds of these regulation-incorporated standards on its website, allowing </w:t>
      </w:r>
      <w:r>
        <w:rPr>
          <w:b/>
          <w:i w:val="0"/>
          <w:smallCaps w:val="0"/>
          <w:strike w:val="0"/>
          <w:sz w:val="22"/>
          <w:u w:val="single"/>
        </w:rPr>
        <w:t>free public access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action led to the plaintiffs suing PRO for </w:t>
      </w:r>
      <w:r>
        <w:rPr>
          <w:b/>
          <w:i w:val="0"/>
          <w:smallCaps w:val="0"/>
          <w:strike w:val="0"/>
          <w:sz w:val="22"/>
          <w:u w:val="single"/>
        </w:rPr>
        <w:t>copyright 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2013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>PRO’s primary defense was based on “</w:t>
      </w:r>
      <w:r>
        <w:rPr>
          <w:b/>
          <w:i w:val="0"/>
          <w:smallCaps w:val="0"/>
          <w:strike w:val="0"/>
          <w:sz w:val="22"/>
          <w:u w:val="single"/>
        </w:rPr>
        <w:t>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,” which allows for </w:t>
      </w:r>
      <w:r>
        <w:rPr>
          <w:b/>
          <w:i w:val="0"/>
          <w:smallCaps w:val="0"/>
          <w:strike w:val="0"/>
          <w:sz w:val="22"/>
          <w:u w:val="single"/>
        </w:rPr>
        <w:t>unauthorized copying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 the four factors codified at 17 U.S.C. § 107 weigh in favor of finding the defendant’s copying to be “fair.”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After </w:t>
      </w:r>
      <w:r>
        <w:rPr>
          <w:b/>
          <w:i w:val="0"/>
          <w:smallCaps w:val="0"/>
          <w:strike w:val="0"/>
          <w:sz w:val="22"/>
          <w:u w:val="single"/>
        </w:rPr>
        <w:t>years of legal proceedings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District Court </w:t>
      </w:r>
      <w:r>
        <w:rPr>
          <w:b/>
          <w:i w:val="0"/>
          <w:smallCaps w:val="0"/>
          <w:strike w:val="0"/>
          <w:sz w:val="22"/>
          <w:u w:val="single"/>
        </w:rPr>
        <w:t>initially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ruled in favor of the plaintiffs</w:t>
      </w:r>
      <w:r>
        <w:rPr>
          <w:b w:val="0"/>
          <w:i w:val="0"/>
          <w:smallCaps w:val="0"/>
          <w:strike w:val="0"/>
          <w:u w:val="none"/>
        </w:rPr>
        <w:t xml:space="preserve">, finding that PRO had infringed nine standards and rejecting PRO's fair use defense.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However, the DC Circuit </w:t>
      </w:r>
      <w:r>
        <w:rPr>
          <w:b/>
          <w:i w:val="0"/>
          <w:smallCaps w:val="0"/>
          <w:strike w:val="0"/>
          <w:sz w:val="22"/>
          <w:u w:val="single"/>
        </w:rPr>
        <w:t>reversed this decision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2018</w:t>
      </w:r>
      <w:r>
        <w:rPr>
          <w:b w:val="0"/>
          <w:i w:val="0"/>
          <w:smallCaps w:val="0"/>
          <w:strike w:val="0"/>
          <w:u w:val="none"/>
        </w:rPr>
        <w:t xml:space="preserve">, leading to further examination of PRO’s fair use defense.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DC Circuit’s </w:t>
      </w:r>
      <w:r>
        <w:rPr>
          <w:b/>
          <w:i w:val="0"/>
          <w:smallCaps w:val="0"/>
          <w:strike w:val="0"/>
          <w:sz w:val="22"/>
          <w:u w:val="single"/>
        </w:rPr>
        <w:t>recent opinion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ultimately affirmed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PRO’s posting of standards incorporated by reference into law </w:t>
      </w:r>
      <w:r>
        <w:rPr>
          <w:b/>
          <w:i w:val="0"/>
          <w:smallCaps w:val="0"/>
          <w:strike w:val="0"/>
          <w:sz w:val="22"/>
          <w:u w:val="single"/>
        </w:rPr>
        <w:t>constituted fair use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