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And it’s magnified by the fact that it will be broadened by </w:t>
      </w:r>
      <w:r>
        <w:rPr>
          <w:b/>
          <w:i w:val="0"/>
          <w:smallCaps w:val="0"/>
          <w:strike w:val="0"/>
          <w:sz w:val="26"/>
          <w:u w:val="single"/>
        </w:rPr>
        <w:t>future litigation</w:t>
      </w:r>
      <w:r>
        <w:rPr>
          <w:b/>
          <w:i w:val="0"/>
          <w:smallCaps w:val="0"/>
          <w:strike w:val="0"/>
          <w:sz w:val="26"/>
          <w:u w:val="none"/>
        </w:rPr>
        <w:t xml:space="preserve">, further undermining the </w:t>
      </w:r>
      <w:r>
        <w:rPr>
          <w:b/>
          <w:i w:val="0"/>
          <w:smallCaps w:val="0"/>
          <w:strike w:val="0"/>
          <w:sz w:val="26"/>
          <w:u w:val="none"/>
        </w:rPr>
        <w:t>protections and rights</w:t>
      </w:r>
      <w:r>
        <w:rPr>
          <w:b/>
          <w:i w:val="0"/>
          <w:smallCaps w:val="0"/>
          <w:strike w:val="0"/>
          <w:sz w:val="26"/>
          <w:u w:val="none"/>
        </w:rPr>
        <w:t xml:space="preserve"> of SDOs.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Griffin and Saunders 24</w:t>
      </w:r>
      <w:r>
        <w:rPr>
          <w:b w:val="0"/>
          <w:i w:val="0"/>
          <w:smallCaps w:val="0"/>
          <w:strike w:val="0"/>
          <w:u w:val="none"/>
        </w:rPr>
        <w:t xml:space="preserve"> – Senior Vice President and General Counsel at the American National Standards Institute</w:t>
      </w:r>
      <w:r>
        <w:rPr>
          <w:b w:val="0"/>
          <w:i w:val="0"/>
          <w:smallCaps w:val="0"/>
          <w:strike w:val="0"/>
          <w:u w:val="none"/>
        </w:rPr>
        <w:t>, J.D. from Albany Law School; Senior Vice President of Public Policy at the American National Standards Institute.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Patricia A. Griffin and Maury Saunders</w:t>
      </w:r>
      <w:r>
        <w:rPr>
          <w:b w:val="0"/>
          <w:i w:val="0"/>
          <w:smallCaps w:val="0"/>
          <w:strike w:val="0"/>
          <w:u w:val="none"/>
        </w:rPr>
        <w:t>, “ANSI Publishes Action Brief on IBR Landscape for SDOs,” American National Standards Institute, 05-09-2024, https://www.ansi.org/standards-news/all-news/2024/05/5-9-24-ansi-publishes-action-brief-on-ibr-landscape-for-sdos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Why Is Copyright Protection </w:t>
      </w:r>
      <w:r>
        <w:rPr>
          <w:b/>
          <w:i w:val="0"/>
          <w:smallCaps w:val="0"/>
          <w:strike w:val="0"/>
          <w:sz w:val="22"/>
          <w:u w:val="single"/>
        </w:rPr>
        <w:t>Essential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Private Standards Development</w:t>
      </w:r>
      <w:r>
        <w:rPr>
          <w:b w:val="0"/>
          <w:i w:val="0"/>
          <w:smallCaps w:val="0"/>
          <w:strike w:val="0"/>
          <w:u w:val="none"/>
        </w:rPr>
        <w:t>?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SDOs make their works available for use by governmental entities in setting safety and other regulations when those entities deem it in the public interest.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SDOs do so with the understanding that these works will retain their </w:t>
      </w:r>
      <w:r>
        <w:rPr>
          <w:b w:val="0"/>
          <w:i w:val="0"/>
          <w:smallCaps w:val="0"/>
          <w:strike w:val="0"/>
          <w:sz w:val="22"/>
          <w:u w:val="single"/>
        </w:rPr>
        <w:t>copyright protection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This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provides SDOs the ability to </w:t>
      </w:r>
      <w:r>
        <w:rPr>
          <w:b/>
          <w:i w:val="0"/>
          <w:smallCaps w:val="0"/>
          <w:strike w:val="0"/>
          <w:sz w:val="22"/>
          <w:u w:val="single"/>
        </w:rPr>
        <w:t>generate revenue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from the sale and licensing of the works that they create, which</w:t>
      </w:r>
      <w:r>
        <w:rPr>
          <w:b w:val="0"/>
          <w:i w:val="0"/>
          <w:smallCaps w:val="0"/>
          <w:strike w:val="0"/>
          <w:u w:val="none"/>
        </w:rPr>
        <w:t xml:space="preserve">, in turn,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enables SDOs to </w:t>
      </w:r>
      <w:r>
        <w:rPr>
          <w:b/>
          <w:i w:val="0"/>
          <w:smallCaps w:val="0"/>
          <w:strike w:val="0"/>
          <w:sz w:val="22"/>
          <w:u w:val="single"/>
        </w:rPr>
        <w:t>sustain their ongoing standards creation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refinement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</w:t>
      </w:r>
      <w:r>
        <w:rPr>
          <w:b/>
          <w:i w:val="0"/>
          <w:smallCaps w:val="0"/>
          <w:strike w:val="0"/>
          <w:sz w:val="22"/>
          <w:u w:val="single"/>
        </w:rPr>
        <w:t>updating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What Are the Current Trends in IBR?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Notwithstanding federal policy,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case law is </w:t>
      </w:r>
      <w:r>
        <w:rPr>
          <w:b/>
          <w:i w:val="0"/>
          <w:smallCaps w:val="0"/>
          <w:strike w:val="0"/>
          <w:sz w:val="22"/>
          <w:u w:val="single"/>
        </w:rPr>
        <w:t>trending towards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limiting copyright protection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IBR’d standards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What’s Changed?... Adoption of a Fair Use Analysis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As noted, fair use is a doctrine in United States law that permits limited use of copyrighted material without having to first acquire permission from the copyright holder.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This follows a global trend favoring increased access to material free and online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For example, a recent federal appeals case in a lawsuit brought by ASTM and others held: The non-commercial publication of standards incorporated by reference into law is fair use and not copyright infringement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There are </w:t>
      </w:r>
      <w:r>
        <w:rPr>
          <w:b/>
          <w:i w:val="0"/>
          <w:smallCaps w:val="0"/>
          <w:strike w:val="0"/>
          <w:sz w:val="22"/>
          <w:u w:val="single"/>
        </w:rPr>
        <w:t>several additional U.S.-based cases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/>
          <w:i w:val="0"/>
          <w:smallCaps w:val="0"/>
          <w:strike w:val="0"/>
          <w:sz w:val="22"/>
          <w:u w:val="single"/>
        </w:rPr>
        <w:t>may follow down this same track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Where Will These Trends Lead?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Trends could continue with </w:t>
      </w:r>
      <w:r>
        <w:rPr>
          <w:b/>
          <w:i w:val="0"/>
          <w:smallCaps w:val="0"/>
          <w:strike w:val="0"/>
          <w:sz w:val="22"/>
          <w:u w:val="single"/>
        </w:rPr>
        <w:t>fair use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dominating IBR analysis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courts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fair use analysis might be extended </w:t>
      </w:r>
      <w:r>
        <w:rPr>
          <w:b/>
          <w:i w:val="0"/>
          <w:smallCaps w:val="0"/>
          <w:strike w:val="0"/>
          <w:sz w:val="22"/>
          <w:u w:val="single"/>
        </w:rPr>
        <w:t>beyond the ASTM case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include </w:t>
      </w:r>
      <w:r>
        <w:rPr>
          <w:b/>
          <w:i w:val="0"/>
          <w:smallCaps w:val="0"/>
          <w:strike w:val="0"/>
          <w:sz w:val="22"/>
          <w:u w:val="single"/>
        </w:rPr>
        <w:t>commercial exploitation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IBR’d standards.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 fair use defense may</w:t>
      </w:r>
      <w:r>
        <w:rPr>
          <w:b w:val="0"/>
          <w:i w:val="0"/>
          <w:smallCaps w:val="0"/>
          <w:strike w:val="0"/>
          <w:u w:val="none"/>
        </w:rPr>
        <w:t xml:space="preserve"> also </w:t>
      </w:r>
      <w:r>
        <w:rPr>
          <w:b w:val="0"/>
          <w:i w:val="0"/>
          <w:smallCaps w:val="0"/>
          <w:strike w:val="0"/>
          <w:sz w:val="22"/>
          <w:u w:val="single"/>
        </w:rPr>
        <w:t>be extended to</w:t>
      </w:r>
      <w:r>
        <w:rPr>
          <w:b w:val="0"/>
          <w:i w:val="0"/>
          <w:smallCaps w:val="0"/>
          <w:strike w:val="0"/>
          <w:u w:val="none"/>
        </w:rPr>
        <w:t xml:space="preserve"> the situation where </w:t>
      </w:r>
      <w:r>
        <w:rPr>
          <w:b w:val="0"/>
          <w:i w:val="0"/>
          <w:smallCaps w:val="0"/>
          <w:strike w:val="0"/>
          <w:sz w:val="22"/>
          <w:u w:val="single"/>
        </w:rPr>
        <w:t>a standard that is incorporated</w:t>
      </w:r>
      <w:r>
        <w:rPr>
          <w:b w:val="0"/>
          <w:i w:val="0"/>
          <w:smallCaps w:val="0"/>
          <w:strike w:val="0"/>
          <w:u w:val="none"/>
        </w:rPr>
        <w:t xml:space="preserve"> by reference </w:t>
      </w:r>
      <w:r>
        <w:rPr>
          <w:b w:val="0"/>
          <w:i w:val="0"/>
          <w:smallCaps w:val="0"/>
          <w:strike w:val="0"/>
          <w:sz w:val="22"/>
          <w:u w:val="single"/>
        </w:rPr>
        <w:t>into</w:t>
      </w:r>
      <w:r>
        <w:rPr>
          <w:b w:val="0"/>
          <w:i w:val="0"/>
          <w:smallCaps w:val="0"/>
          <w:strike w:val="0"/>
          <w:u w:val="none"/>
        </w:rPr>
        <w:t xml:space="preserve"> law itself references </w:t>
      </w:r>
      <w:r>
        <w:rPr>
          <w:b w:val="0"/>
          <w:i w:val="0"/>
          <w:smallCaps w:val="0"/>
          <w:strike w:val="0"/>
          <w:sz w:val="22"/>
          <w:u w:val="single"/>
        </w:rPr>
        <w:t>another standard that is not</w:t>
      </w:r>
      <w:r>
        <w:rPr>
          <w:b w:val="0"/>
          <w:i w:val="0"/>
          <w:smallCaps w:val="0"/>
          <w:strike w:val="0"/>
          <w:u w:val="none"/>
        </w:rPr>
        <w:t xml:space="preserve"> so </w:t>
      </w:r>
      <w:r>
        <w:rPr>
          <w:b w:val="0"/>
          <w:i w:val="0"/>
          <w:smallCaps w:val="0"/>
          <w:strike w:val="0"/>
          <w:sz w:val="22"/>
          <w:u w:val="single"/>
        </w:rPr>
        <w:t>incorporated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Expansion of fair use analysis could lead to </w:t>
      </w:r>
      <w:r>
        <w:rPr>
          <w:b/>
          <w:i w:val="0"/>
          <w:smallCaps w:val="0"/>
          <w:strike w:val="0"/>
          <w:sz w:val="22"/>
          <w:u w:val="single"/>
        </w:rPr>
        <w:t>additional exceptions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assertions of copyright in </w:t>
      </w:r>
      <w:r>
        <w:rPr>
          <w:b/>
          <w:i w:val="0"/>
          <w:smallCaps w:val="0"/>
          <w:strike w:val="0"/>
          <w:sz w:val="22"/>
          <w:u w:val="single"/>
        </w:rPr>
        <w:t>all standards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If SDOs cannot fund standards development as a result of loss of copyright in IBR’d standards, </w:t>
      </w:r>
      <w:r>
        <w:rPr>
          <w:b/>
          <w:i w:val="0"/>
          <w:smallCaps w:val="0"/>
          <w:strike w:val="0"/>
          <w:sz w:val="22"/>
          <w:u w:val="single"/>
        </w:rPr>
        <w:t>standards may not be updated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frequently, or for some industries </w:t>
      </w:r>
      <w:r>
        <w:rPr>
          <w:b/>
          <w:i w:val="0"/>
          <w:smallCaps w:val="0"/>
          <w:strike w:val="0"/>
          <w:sz w:val="22"/>
          <w:u w:val="single"/>
        </w:rPr>
        <w:t>not at all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