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Legal uncertainty </w:t>
      </w:r>
      <w:r>
        <w:rPr>
          <w:b/>
          <w:i w:val="0"/>
          <w:smallCaps w:val="0"/>
          <w:strike w:val="0"/>
          <w:sz w:val="26"/>
          <w:u w:val="none"/>
        </w:rPr>
        <w:t>surrounding standards now.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Despite decades of decisions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courts have </w:t>
      </w:r>
      <w:r>
        <w:rPr>
          <w:b/>
          <w:i w:val="0"/>
          <w:smallCaps w:val="0"/>
          <w:strike w:val="0"/>
          <w:sz w:val="22"/>
          <w:u w:val="single"/>
        </w:rPr>
        <w:t>not reached consensus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 whether</w:t>
      </w:r>
      <w:r>
        <w:rPr>
          <w:b w:val="0"/>
          <w:i w:val="0"/>
          <w:smallCaps w:val="0"/>
          <w:strike w:val="0"/>
          <w:u w:val="none"/>
        </w:rPr>
        <w:t xml:space="preserve"> technical </w:t>
      </w:r>
      <w:r>
        <w:rPr>
          <w:b w:val="0"/>
          <w:i w:val="0"/>
          <w:smallCaps w:val="0"/>
          <w:strike w:val="0"/>
          <w:sz w:val="22"/>
          <w:u w:val="single"/>
        </w:rPr>
        <w:t>standards remain protected by copyright after they are incorporated</w:t>
      </w:r>
      <w:r>
        <w:rPr>
          <w:b w:val="0"/>
          <w:i w:val="0"/>
          <w:smallCaps w:val="0"/>
          <w:strike w:val="0"/>
          <w:u w:val="none"/>
        </w:rPr>
        <w:t xml:space="preserve"> into law.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Various U.S. Courts of Appeals for different regional circuits reached </w:t>
      </w:r>
      <w:r>
        <w:rPr>
          <w:b/>
          <w:i w:val="0"/>
          <w:smallCaps w:val="0"/>
          <w:strike w:val="0"/>
          <w:sz w:val="22"/>
          <w:u w:val="single"/>
        </w:rPr>
        <w:t>seemingly conflicting conclusions</w:t>
      </w:r>
      <w:r>
        <w:rPr>
          <w:b w:val="0"/>
          <w:i w:val="0"/>
          <w:smallCaps w:val="0"/>
          <w:strike w:val="0"/>
          <w:u w:val="none"/>
        </w:rPr>
        <w:t xml:space="preserve"> on that question in the 1980s–2000s. </w:t>
      </w:r>
      <w:r>
        <w:rPr>
          <w:b w:val="0"/>
          <w:i w:val="0"/>
          <w:smallCaps w:val="0"/>
          <w:strike w:val="0"/>
          <w:sz w:val="22"/>
          <w:u w:val="single"/>
        </w:rPr>
        <w:t>Following a 2018 decision by the D.C. Circuit in</w:t>
      </w:r>
      <w:r>
        <w:rPr>
          <w:b w:val="0"/>
          <w:i w:val="0"/>
          <w:smallCaps w:val="0"/>
          <w:strike w:val="0"/>
          <w:u w:val="none"/>
        </w:rPr>
        <w:t xml:space="preserve"> American Society for Testing and Materials v. Public.Resource.Org (</w:t>
      </w:r>
      <w:r>
        <w:rPr>
          <w:b w:val="0"/>
          <w:i w:val="0"/>
          <w:smallCaps w:val="0"/>
          <w:strike w:val="0"/>
          <w:sz w:val="22"/>
          <w:u w:val="single"/>
        </w:rPr>
        <w:t>ASTM</w:t>
      </w:r>
      <w:r>
        <w:rPr>
          <w:b w:val="0"/>
          <w:i w:val="0"/>
          <w:smallCaps w:val="0"/>
          <w:strike w:val="0"/>
          <w:u w:val="none"/>
        </w:rPr>
        <w:t xml:space="preserve"> v. PRO I), </w:t>
      </w:r>
      <w:r>
        <w:rPr>
          <w:b w:val="0"/>
          <w:i w:val="0"/>
          <w:smallCaps w:val="0"/>
          <w:strike w:val="0"/>
          <w:sz w:val="22"/>
          <w:u w:val="single"/>
        </w:rPr>
        <w:t>the case law has increasingly focused on whether copyright’s fair use doctrine permits public-access groups</w:t>
      </w:r>
      <w:r>
        <w:rPr>
          <w:b w:val="0"/>
          <w:i w:val="0"/>
          <w:smallCaps w:val="0"/>
          <w:strike w:val="0"/>
          <w:u w:val="none"/>
        </w:rPr>
        <w:t xml:space="preserve"> to make IBR standards available online. Following ASTM v. PRO I and the Supreme Court’s 2020 decision on a related issue in Georgia v. Public.Resource.Org,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recent cases have typically ruled against SDOs’ copyright infringement claims, </w:t>
      </w:r>
      <w:r>
        <w:rPr>
          <w:b/>
          <w:i w:val="0"/>
          <w:smallCaps w:val="0"/>
          <w:strike w:val="0"/>
          <w:sz w:val="22"/>
          <w:u w:val="single"/>
        </w:rPr>
        <w:t>mainly on fair use grounds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