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most recent case on the issue was </w:t>
      </w:r>
      <w:r>
        <w:rPr>
          <w:b/>
          <w:i/>
          <w:smallCaps w:val="0"/>
          <w:strike w:val="0"/>
          <w:sz w:val="26"/>
          <w:u w:val="single"/>
        </w:rPr>
        <w:t>Georgia v. Pro</w:t>
      </w:r>
      <w:r>
        <w:rPr>
          <w:b/>
          <w:i w:val="0"/>
          <w:smallCaps w:val="0"/>
          <w:strike w:val="0"/>
          <w:sz w:val="26"/>
          <w:u w:val="none"/>
        </w:rPr>
        <w:t xml:space="preserve"> in 2020, which further upheld the lack of copyright for SDOs. This is supported by a wide variety of other precedents.</w:t>
      </w:r>
    </w:p>
    <w:p>
      <w:pPr>
        <w:spacing w:after="80"/>
      </w:pPr>
      <w:r>
        <w:rPr>
          <w:b/>
          <w:i w:val="0"/>
          <w:smallCaps w:val="0"/>
          <w:strike w:val="0"/>
          <w:sz w:val="26"/>
          <w:u w:val="none"/>
        </w:rPr>
        <w:t>Hickey 23</w:t>
      </w:r>
      <w:r>
        <w:rPr>
          <w:b w:val="0"/>
          <w:i w:val="0"/>
          <w:smallCaps w:val="0"/>
          <w:strike w:val="0"/>
          <w:u w:val="none"/>
        </w:rPr>
        <w:t xml:space="preserve"> – Legislative Attorney at the Congressional Research Service, former Fellow at the University of California, Berkeley, J.D. from New York University School of Law. </w:t>
      </w:r>
    </w:p>
    <w:p>
      <w:pPr>
        <w:spacing w:after="60"/>
      </w:pPr>
      <w:r>
        <w:rPr>
          <w:b w:val="0"/>
          <w:i w:val="0"/>
          <w:smallCaps w:val="0"/>
          <w:strike w:val="0"/>
          <w:u w:val="none"/>
        </w:rPr>
        <w:t>Kevin J. Hickey, “Copyright in Standards Incorporated by Reference into Law and the Pro Codes Act,” Congressional Research Service, 09-26-2023, https://sgp.fas.org/crs/misc/R47656.pdf</w:t>
      </w:r>
    </w:p>
    <w:p>
      <w:pPr>
        <w:spacing w:after="60"/>
      </w:pPr>
      <w:r>
        <w:rPr>
          <w:b w:val="0"/>
          <w:i w:val="0"/>
          <w:smallCaps w:val="0"/>
          <w:strike w:val="0"/>
          <w:u w:val="none"/>
        </w:rPr>
        <w:t xml:space="preserve">Applying its rule, the </w:t>
      </w:r>
      <w:r>
        <w:rPr>
          <w:b w:val="0"/>
          <w:i w:val="0"/>
          <w:smallCaps w:val="0"/>
          <w:strike w:val="0"/>
          <w:sz w:val="22"/>
          <w:u w:val="single"/>
        </w:rPr>
        <w:t>majority in Georgia v. PRO found that</w:t>
      </w:r>
      <w:r>
        <w:rPr>
          <w:b w:val="0"/>
          <w:i w:val="0"/>
          <w:smallCaps w:val="0"/>
          <w:strike w:val="0"/>
          <w:u w:val="none"/>
        </w:rPr>
        <w:t xml:space="preserve"> because Lexis made the </w:t>
      </w:r>
      <w:r>
        <w:rPr>
          <w:b w:val="0"/>
          <w:i w:val="0"/>
          <w:smallCaps w:val="0"/>
          <w:strike w:val="0"/>
          <w:sz w:val="22"/>
          <w:u w:val="single"/>
        </w:rPr>
        <w:t>annotations</w:t>
      </w:r>
      <w:r>
        <w:rPr>
          <w:b w:val="0"/>
          <w:i w:val="0"/>
          <w:smallCaps w:val="0"/>
          <w:strike w:val="0"/>
          <w:u w:val="none"/>
        </w:rPr>
        <w:t xml:space="preserve"> under an agreement with an “arm” of the Georgia state legislature, the annotations were authored by the legislature in the course of its legislative duties. 86 The Court thus held that the annotations </w:t>
      </w:r>
      <w:r>
        <w:rPr>
          <w:b/>
          <w:i w:val="0"/>
          <w:smallCaps w:val="0"/>
          <w:strike w:val="0"/>
          <w:sz w:val="22"/>
          <w:u w:val="single"/>
        </w:rPr>
        <w:t>were not copyrightable</w:t>
      </w:r>
      <w:r>
        <w:rPr>
          <w:b w:val="0"/>
          <w:i w:val="0"/>
          <w:smallCaps w:val="0"/>
          <w:strike w:val="0"/>
          <w:u w:val="none"/>
        </w:rPr>
        <w:t>.87</w:t>
      </w:r>
    </w:p>
    <w:p>
      <w:pPr>
        <w:spacing w:after="60"/>
      </w:pPr>
      <w:r>
        <w:rPr>
          <w:b w:val="0"/>
          <w:i w:val="0"/>
          <w:smallCaps w:val="0"/>
          <w:strike w:val="0"/>
          <w:u w:val="none"/>
        </w:rPr>
        <w:t xml:space="preserve">Developments </w:t>
      </w:r>
    </w:p>
    <w:p>
      <w:pPr>
        <w:spacing w:after="60"/>
      </w:pPr>
      <w:r>
        <w:rPr>
          <w:b w:val="0"/>
          <w:i w:val="0"/>
          <w:smallCaps w:val="0"/>
          <w:strike w:val="0"/>
          <w:u w:val="none"/>
        </w:rPr>
        <w:t xml:space="preserve">After Georgia v. PRO SDOs and public-access groups dispute the relevance of Georgia v. PRO to their ongoing copyright disputes.88 </w:t>
      </w:r>
      <w:r>
        <w:rPr>
          <w:b w:val="0"/>
          <w:i w:val="0"/>
          <w:smallCaps w:val="0"/>
          <w:strike w:val="0"/>
          <w:sz w:val="22"/>
          <w:u w:val="single"/>
        </w:rPr>
        <w:t>Public-access groups cite the case for its pronouncement that “</w:t>
      </w:r>
      <w:r>
        <w:rPr>
          <w:b/>
          <w:i w:val="0"/>
          <w:smallCaps w:val="0"/>
          <w:strike w:val="0"/>
          <w:sz w:val="22"/>
          <w:u w:val="single"/>
        </w:rPr>
        <w:t>no one may own the law</w:t>
      </w:r>
      <w:r>
        <w:rPr>
          <w:b w:val="0"/>
          <w:i w:val="0"/>
          <w:smallCaps w:val="0"/>
          <w:strike w:val="0"/>
          <w:sz w:val="22"/>
          <w:u w:val="single"/>
        </w:rPr>
        <w:t>”</w:t>
      </w:r>
      <w:r>
        <w:rPr>
          <w:b w:val="0"/>
          <w:i w:val="0"/>
          <w:smallCaps w:val="0"/>
          <w:strike w:val="0"/>
          <w:u w:val="none"/>
        </w:rPr>
        <w:t xml:space="preserve"> </w:t>
      </w:r>
      <w:r>
        <w:rPr>
          <w:b w:val="0"/>
          <w:i w:val="0"/>
          <w:smallCaps w:val="0"/>
          <w:strike w:val="0"/>
          <w:sz w:val="22"/>
          <w:u w:val="single"/>
        </w:rPr>
        <w:t>and argue that incorporation</w:t>
      </w:r>
      <w:r>
        <w:rPr>
          <w:b w:val="0"/>
          <w:i w:val="0"/>
          <w:smallCaps w:val="0"/>
          <w:strike w:val="0"/>
          <w:u w:val="none"/>
        </w:rPr>
        <w:t xml:space="preserve"> by reference </w:t>
      </w:r>
      <w:r>
        <w:rPr>
          <w:b w:val="0"/>
          <w:i w:val="0"/>
          <w:smallCaps w:val="0"/>
          <w:strike w:val="0"/>
          <w:sz w:val="22"/>
          <w:u w:val="single"/>
        </w:rPr>
        <w:t xml:space="preserve">transforms privately authored standards into </w:t>
      </w:r>
      <w:r>
        <w:rPr>
          <w:b/>
          <w:i w:val="0"/>
          <w:smallCaps w:val="0"/>
          <w:strike w:val="0"/>
          <w:sz w:val="22"/>
          <w:u w:val="single"/>
        </w:rPr>
        <w:t>uncopyrightable government edicts</w:t>
      </w:r>
      <w:r>
        <w:rPr>
          <w:b w:val="0"/>
          <w:i w:val="0"/>
          <w:smallCaps w:val="0"/>
          <w:strike w:val="0"/>
          <w:u w:val="none"/>
        </w:rPr>
        <w:t>.89 For their part, SDOs contend that the key to the Court’s decision in Georgia v. PRO was that the OCGA annotations were authored by the legislature. 90 In contrast, most IBR standards are created independently of the government. Under Georgia v. PRO, the government-edicts doctrine does not apply to “private parties” who “lack the authority to make or interpret the law.”91</w:t>
      </w:r>
    </w:p>
    <w:p>
      <w:pPr>
        <w:spacing w:after="60"/>
      </w:pPr>
      <w:r>
        <w:rPr>
          <w:b w:val="0"/>
          <w:i w:val="0"/>
          <w:smallCaps w:val="0"/>
          <w:strike w:val="0"/>
          <w:sz w:val="22"/>
          <w:u w:val="single"/>
        </w:rPr>
        <w:t>At least three federal district courts have decided cases involving copyright in IBR standards following Georgia v. PRO.</w:t>
      </w:r>
      <w:r>
        <w:rPr>
          <w:b w:val="0"/>
          <w:i w:val="0"/>
          <w:smallCaps w:val="0"/>
          <w:strike w:val="0"/>
          <w:u w:val="none"/>
        </w:rPr>
        <w:t xml:space="preserve"> </w:t>
      </w:r>
      <w:r>
        <w:rPr>
          <w:b/>
          <w:i w:val="0"/>
          <w:smallCaps w:val="0"/>
          <w:strike w:val="0"/>
          <w:sz w:val="22"/>
          <w:u w:val="single"/>
        </w:rPr>
        <w:t>All three</w:t>
      </w:r>
      <w:r>
        <w:rPr>
          <w:b w:val="0"/>
          <w:i w:val="0"/>
          <w:smallCaps w:val="0"/>
          <w:strike w:val="0"/>
          <w:u w:val="none"/>
        </w:rPr>
        <w:t xml:space="preserve"> held that the government-edicts doctrine did not apply, but </w:t>
      </w:r>
      <w:r>
        <w:rPr>
          <w:b/>
          <w:i w:val="0"/>
          <w:smallCaps w:val="0"/>
          <w:strike w:val="0"/>
          <w:sz w:val="22"/>
          <w:u w:val="single"/>
        </w:rPr>
        <w:t>largely ruled against</w:t>
      </w:r>
      <w:r>
        <w:rPr>
          <w:b w:val="0"/>
          <w:i w:val="0"/>
          <w:smallCaps w:val="0"/>
          <w:strike w:val="0"/>
          <w:u w:val="none"/>
        </w:rPr>
        <w:t xml:space="preserve"> </w:t>
      </w:r>
      <w:r>
        <w:rPr>
          <w:b w:val="0"/>
          <w:i w:val="0"/>
          <w:smallCaps w:val="0"/>
          <w:strike w:val="0"/>
          <w:sz w:val="22"/>
          <w:u w:val="single"/>
        </w:rPr>
        <w:t>the SDOs’ copyright claims on other grounds</w:t>
      </w:r>
      <w:r>
        <w:rPr>
          <w:b w:val="0"/>
          <w:i w:val="0"/>
          <w:smallCaps w:val="0"/>
          <w:strike w:val="0"/>
          <w:u w:val="none"/>
        </w:rPr>
        <w:t xml:space="preserve">. </w:t>
      </w:r>
      <w:r>
        <w:rPr>
          <w:b w:val="0"/>
          <w:i w:val="0"/>
          <w:smallCaps w:val="0"/>
          <w:strike w:val="0"/>
          <w:sz w:val="22"/>
          <w:u w:val="single"/>
        </w:rPr>
        <w:t>One of these decisions was appealed and upheld by the appellate court.</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