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It’s the key revenue model.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Bremer 19</w:t>
      </w:r>
      <w:r>
        <w:rPr>
          <w:b w:val="0"/>
          <w:i w:val="0"/>
          <w:smallCaps w:val="0"/>
          <w:strike w:val="0"/>
          <w:u w:val="none"/>
        </w:rPr>
        <w:t xml:space="preserve"> – Professor of Law at the University of Notre Dame, J.D. from New York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Emily S. Bremer, “Technical Standards Meet Administrative Law: A Teaching Guide on Incorporation by Reference,” Notre Dame Law School Scholarship, https://scholarship.law.nd.edu/law_faculty_scholarship/1406/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u w:val="single"/>
        </w:rPr>
        <w:t>copyright</w:t>
      </w:r>
      <w:r>
        <w:rPr>
          <w:b w:val="0"/>
          <w:i w:val="0"/>
          <w:smallCaps w:val="0"/>
          <w:strike w:val="0"/>
          <w:u w:val="none"/>
        </w:rPr>
        <w:t xml:space="preserve"> issue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 </w:t>
      </w:r>
      <w:r>
        <w:rPr>
          <w:b/>
          <w:i w:val="0"/>
          <w:smallCaps w:val="0"/>
          <w:strike w:val="0"/>
          <w:sz w:val="22"/>
          <w:u w:val="single"/>
        </w:rPr>
        <w:t>intimately related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to</w:t>
      </w:r>
      <w:r>
        <w:rPr>
          <w:b w:val="0"/>
          <w:i w:val="0"/>
          <w:smallCaps w:val="0"/>
          <w:strike w:val="0"/>
          <w:u w:val="none"/>
        </w:rPr>
        <w:t xml:space="preserve"> the matter of </w:t>
      </w:r>
      <w:r>
        <w:rPr>
          <w:b w:val="0"/>
          <w:i w:val="0"/>
          <w:smallCaps w:val="0"/>
          <w:strike w:val="0"/>
          <w:sz w:val="22"/>
          <w:u w:val="single"/>
        </w:rPr>
        <w:t>funding the standard-setting process</w:t>
      </w:r>
      <w:r>
        <w:rPr>
          <w:b w:val="0"/>
          <w:i w:val="0"/>
          <w:smallCaps w:val="0"/>
          <w:strike w:val="0"/>
          <w:u w:val="none"/>
        </w:rPr>
        <w:t xml:space="preserve">. As previously noted,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revenue model most SSOs have adopted </w:t>
      </w:r>
      <w:r>
        <w:rPr>
          <w:b/>
          <w:i w:val="0"/>
          <w:smallCaps w:val="0"/>
          <w:strike w:val="0"/>
          <w:sz w:val="22"/>
          <w:u w:val="single"/>
        </w:rPr>
        <w:t>relies heavily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the </w:t>
      </w:r>
      <w:r>
        <w:rPr>
          <w:b/>
          <w:i w:val="0"/>
          <w:smallCaps w:val="0"/>
          <w:strike w:val="0"/>
          <w:sz w:val="22"/>
          <w:u w:val="single"/>
        </w:rPr>
        <w:t>revenue generated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the </w:t>
      </w:r>
      <w:r>
        <w:rPr>
          <w:b/>
          <w:i w:val="0"/>
          <w:smallCaps w:val="0"/>
          <w:strike w:val="0"/>
          <w:sz w:val="22"/>
          <w:u w:val="single"/>
        </w:rPr>
        <w:t>sale of standards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>Copyright protects this model</w:t>
      </w:r>
      <w:r>
        <w:rPr>
          <w:b w:val="0"/>
          <w:i w:val="0"/>
          <w:smallCaps w:val="0"/>
          <w:strike w:val="0"/>
          <w:u w:val="none"/>
        </w:rPr>
        <w:t xml:space="preserve">. When you think of counterfeit products, you generally think of things like Louis Vuitton handbags. But </w:t>
      </w:r>
      <w:r>
        <w:rPr>
          <w:b w:val="0"/>
          <w:i w:val="0"/>
          <w:smallCaps w:val="0"/>
          <w:strike w:val="0"/>
          <w:sz w:val="22"/>
          <w:u w:val="single"/>
        </w:rPr>
        <w:t>standards get counterfeited, too</w:t>
      </w:r>
      <w:r>
        <w:rPr>
          <w:b w:val="0"/>
          <w:i w:val="0"/>
          <w:smallCaps w:val="0"/>
          <w:strike w:val="0"/>
          <w:u w:val="none"/>
        </w:rPr>
        <w:t xml:space="preserve">! For example, the National Fire Protection Association (NFPA) has had problems with people selling counterfeit copies of the National Electric Code. 73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NFPA's ability to enforce its copyright protects the SSO's </w:t>
      </w:r>
      <w:r>
        <w:rPr>
          <w:b/>
          <w:i w:val="0"/>
          <w:smallCaps w:val="0"/>
          <w:strike w:val="0"/>
          <w:sz w:val="22"/>
          <w:u w:val="single"/>
        </w:rPr>
        <w:t>primary funding source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helps to prevent the dissemination of potentially </w:t>
      </w:r>
      <w:r>
        <w:rPr>
          <w:b/>
          <w:i w:val="0"/>
          <w:smallCaps w:val="0"/>
          <w:strike w:val="0"/>
          <w:sz w:val="22"/>
          <w:u w:val="single"/>
        </w:rPr>
        <w:t>erroneous copies of its standards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