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Despite a number of cases across the last </w:t>
      </w:r>
      <w:r>
        <w:rPr>
          <w:b/>
          <w:i w:val="0"/>
          <w:smallCaps w:val="0"/>
          <w:strike w:val="0"/>
          <w:sz w:val="26"/>
          <w:u w:val="single"/>
        </w:rPr>
        <w:t>four decades</w:t>
      </w:r>
      <w:r>
        <w:rPr>
          <w:b/>
          <w:i w:val="0"/>
          <w:smallCaps w:val="0"/>
          <w:strike w:val="0"/>
          <w:sz w:val="26"/>
          <w:u w:val="none"/>
        </w:rPr>
        <w:t>, the judicial system is divided over how the issue of copyright for technical standards should be decided. Only a strong Supreme Court ruling can create clarity.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Hickey 23</w:t>
      </w:r>
      <w:r>
        <w:rPr>
          <w:b w:val="0"/>
          <w:i w:val="0"/>
          <w:smallCaps w:val="0"/>
          <w:strike w:val="0"/>
          <w:u w:val="none"/>
        </w:rPr>
        <w:t xml:space="preserve"> – Legislative Attorney at the Congressional Research Service, former Fellow at the University of California, Berkeley, J.D. from New York University School of Law.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Kevin J. Hickey, “Copyright in Standards Incorporated by Reference into Law and the Pro Codes Act,” Congressional Research Service, 09-26-2023, https://sgp.fas.org/crs/misc/R47656.pdf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copyright status of IBR standards has been litigated in a </w:t>
      </w:r>
      <w:r>
        <w:rPr>
          <w:b/>
          <w:i w:val="0"/>
          <w:smallCaps w:val="0"/>
          <w:strike w:val="0"/>
          <w:sz w:val="22"/>
          <w:u w:val="single"/>
        </w:rPr>
        <w:t>number of significant federal cases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since </w:t>
      </w:r>
      <w:r>
        <w:rPr>
          <w:b/>
          <w:i w:val="0"/>
          <w:smallCaps w:val="0"/>
          <w:strike w:val="0"/>
          <w:sz w:val="22"/>
          <w:u w:val="single"/>
        </w:rPr>
        <w:t>at least the 1980s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Despite more </w:t>
      </w:r>
      <w:r>
        <w:rPr>
          <w:b/>
          <w:i w:val="0"/>
          <w:smallCaps w:val="0"/>
          <w:strike w:val="0"/>
          <w:sz w:val="22"/>
          <w:u w:val="single"/>
        </w:rPr>
        <w:t>than 40 years of history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courts have not reached a </w:t>
      </w:r>
      <w:r>
        <w:rPr>
          <w:b/>
          <w:i w:val="0"/>
          <w:smallCaps w:val="0"/>
          <w:strike w:val="0"/>
          <w:sz w:val="22"/>
          <w:u w:val="single"/>
        </w:rPr>
        <w:t>definitive consensus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on (1) whether</w:t>
      </w:r>
      <w:r>
        <w:rPr>
          <w:b w:val="0"/>
          <w:i w:val="0"/>
          <w:smallCaps w:val="0"/>
          <w:strike w:val="0"/>
          <w:u w:val="none"/>
        </w:rPr>
        <w:t xml:space="preserve"> technical </w:t>
      </w:r>
      <w:r>
        <w:rPr>
          <w:b w:val="0"/>
          <w:i w:val="0"/>
          <w:smallCaps w:val="0"/>
          <w:strike w:val="0"/>
          <w:sz w:val="22"/>
          <w:u w:val="single"/>
        </w:rPr>
        <w:t>standards remain protected by copyright after they are incorporated</w:t>
      </w:r>
      <w:r>
        <w:rPr>
          <w:b w:val="0"/>
          <w:i w:val="0"/>
          <w:smallCaps w:val="0"/>
          <w:strike w:val="0"/>
          <w:u w:val="none"/>
        </w:rPr>
        <w:t xml:space="preserve"> by reference </w:t>
      </w:r>
      <w:r>
        <w:rPr>
          <w:b w:val="0"/>
          <w:i w:val="0"/>
          <w:smallCaps w:val="0"/>
          <w:strike w:val="0"/>
          <w:sz w:val="22"/>
          <w:u w:val="single"/>
        </w:rPr>
        <w:t>into law, or</w:t>
      </w:r>
      <w:r>
        <w:rPr>
          <w:b w:val="0"/>
          <w:i w:val="0"/>
          <w:smallCaps w:val="0"/>
          <w:strike w:val="0"/>
          <w:u w:val="none"/>
        </w:rPr>
        <w:t xml:space="preserve"> (2) if IBR standards are protected, </w:t>
      </w:r>
      <w:r>
        <w:rPr>
          <w:b w:val="0"/>
          <w:i w:val="0"/>
          <w:smallCaps w:val="0"/>
          <w:strike w:val="0"/>
          <w:sz w:val="22"/>
          <w:u w:val="single"/>
        </w:rPr>
        <w:t>whether the fair use doctrine</w:t>
      </w:r>
      <w:r>
        <w:rPr>
          <w:b w:val="0"/>
          <w:i w:val="0"/>
          <w:smallCaps w:val="0"/>
          <w:strike w:val="0"/>
          <w:u w:val="none"/>
        </w:rPr>
        <w:t xml:space="preserve"> or the Constitution </w:t>
      </w:r>
      <w:r>
        <w:rPr>
          <w:b w:val="0"/>
          <w:i w:val="0"/>
          <w:smallCaps w:val="0"/>
          <w:strike w:val="0"/>
          <w:sz w:val="22"/>
          <w:u w:val="single"/>
        </w:rPr>
        <w:t>permits third parties to make them publicly available</w:t>
      </w:r>
      <w:r>
        <w:rPr>
          <w:b w:val="0"/>
          <w:i w:val="0"/>
          <w:smallCaps w:val="0"/>
          <w:strike w:val="0"/>
          <w:u w:val="none"/>
        </w:rPr>
        <w:t xml:space="preserve"> despite the copyright.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On the first issue—whether incorporation by reference into law puts standards into the public domain—</w:t>
      </w:r>
      <w:r>
        <w:rPr>
          <w:b w:val="0"/>
          <w:i w:val="0"/>
          <w:smallCaps w:val="0"/>
          <w:strike w:val="0"/>
          <w:sz w:val="22"/>
          <w:u w:val="single"/>
        </w:rPr>
        <w:t>several decisions by the federal courts of appeals have reached</w:t>
      </w:r>
      <w:r>
        <w:rPr>
          <w:b w:val="0"/>
          <w:i w:val="0"/>
          <w:smallCaps w:val="0"/>
          <w:strike w:val="0"/>
          <w:u w:val="none"/>
        </w:rPr>
        <w:t xml:space="preserve"> seemingly </w:t>
      </w:r>
      <w:r>
        <w:rPr>
          <w:b/>
          <w:i w:val="0"/>
          <w:smallCaps w:val="0"/>
          <w:strike w:val="0"/>
          <w:sz w:val="22"/>
          <w:u w:val="single"/>
        </w:rPr>
        <w:t>inconsistent conclusions</w:t>
      </w:r>
      <w:r>
        <w:rPr>
          <w:b w:val="0"/>
          <w:i w:val="0"/>
          <w:smallCaps w:val="0"/>
          <w:strike w:val="0"/>
          <w:u w:val="none"/>
        </w:rPr>
        <w:t xml:space="preserve">.34 Following the D.C. Circuit’s 2018 ruling in ASTM v. PRO I and the Supreme Court’s 2020 decision in Georgia v. PRO, 35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recent cases have increasingly avoided the </w:t>
      </w:r>
      <w:r>
        <w:rPr>
          <w:b/>
          <w:i w:val="0"/>
          <w:smallCaps w:val="0"/>
          <w:strike w:val="0"/>
          <w:sz w:val="22"/>
          <w:u w:val="single"/>
        </w:rPr>
        <w:t>broader copyrightability issue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focused </w:t>
      </w:r>
      <w:r>
        <w:rPr>
          <w:b/>
          <w:i w:val="0"/>
          <w:smallCaps w:val="0"/>
          <w:strike w:val="0"/>
          <w:sz w:val="22"/>
          <w:u w:val="single"/>
        </w:rPr>
        <w:t>instead on the fair use doctrine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while typically </w:t>
      </w:r>
      <w:r>
        <w:rPr>
          <w:b/>
          <w:i w:val="0"/>
          <w:smallCaps w:val="0"/>
          <w:strike w:val="0"/>
          <w:sz w:val="22"/>
          <w:u w:val="single"/>
        </w:rPr>
        <w:t>ruling against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SDOs’ copyright infringement claims</w:t>
      </w:r>
      <w:r>
        <w:rPr>
          <w:b w:val="0"/>
          <w:i w:val="0"/>
          <w:smallCaps w:val="0"/>
          <w:strike w:val="0"/>
          <w:u w:val="none"/>
        </w:rPr>
        <w:t>.36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