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precedent has already been </w:t>
      </w:r>
      <w:r>
        <w:rPr>
          <w:b/>
          <w:i w:val="0"/>
          <w:smallCaps w:val="0"/>
          <w:strike w:val="0"/>
          <w:sz w:val="26"/>
          <w:u w:val="single"/>
        </w:rPr>
        <w:t>tentatively established</w:t>
      </w:r>
      <w:r>
        <w:rPr>
          <w:b/>
          <w:i w:val="0"/>
          <w:smallCaps w:val="0"/>
          <w:strike w:val="0"/>
          <w:sz w:val="26"/>
          <w:u w:val="none"/>
        </w:rPr>
        <w:t xml:space="preserve">, but it needs to be strengthened by a </w:t>
      </w:r>
      <w:r>
        <w:rPr>
          <w:b/>
          <w:i w:val="0"/>
          <w:smallCaps w:val="0"/>
          <w:strike w:val="0"/>
          <w:sz w:val="26"/>
          <w:u w:val="single"/>
        </w:rPr>
        <w:t>clear</w:t>
      </w:r>
      <w:r>
        <w:rPr>
          <w:b/>
          <w:i w:val="0"/>
          <w:smallCaps w:val="0"/>
          <w:strike w:val="0"/>
          <w:sz w:val="26"/>
          <w:u w:val="none"/>
        </w:rPr>
        <w:t xml:space="preserve"> and </w:t>
      </w:r>
      <w:r>
        <w:rPr>
          <w:b/>
          <w:i w:val="0"/>
          <w:smallCaps w:val="0"/>
          <w:strike w:val="0"/>
          <w:sz w:val="26"/>
          <w:u w:val="single"/>
        </w:rPr>
        <w:t>direct</w:t>
      </w:r>
      <w:r>
        <w:rPr>
          <w:b/>
          <w:i w:val="0"/>
          <w:smallCaps w:val="0"/>
          <w:strike w:val="0"/>
          <w:sz w:val="26"/>
          <w:u w:val="none"/>
        </w:rPr>
        <w:t xml:space="preserve"> ruling that upholds copyright and clarifies that the Takings Clause applies.</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sz w:val="22"/>
          <w:u w:val="single"/>
        </w:rPr>
        <w:t>The Takings Clause</w:t>
      </w:r>
      <w:r>
        <w:rPr>
          <w:b w:val="0"/>
          <w:i w:val="0"/>
          <w:smallCaps w:val="0"/>
          <w:strike w:val="0"/>
          <w:u w:val="none"/>
        </w:rPr>
        <w:t xml:space="preserve"> of the Fifth Amendment </w:t>
      </w:r>
      <w:r>
        <w:rPr>
          <w:b w:val="0"/>
          <w:i w:val="0"/>
          <w:smallCaps w:val="0"/>
          <w:strike w:val="0"/>
          <w:sz w:val="22"/>
          <w:u w:val="single"/>
        </w:rPr>
        <w:t xml:space="preserve">states that “private property [may not] be taken for public use, </w:t>
      </w:r>
      <w:r>
        <w:rPr>
          <w:b/>
          <w:i w:val="0"/>
          <w:smallCaps w:val="0"/>
          <w:strike w:val="0"/>
          <w:sz w:val="22"/>
          <w:u w:val="single"/>
        </w:rPr>
        <w:t>without just compensation</w:t>
      </w:r>
      <w:r>
        <w:rPr>
          <w:b w:val="0"/>
          <w:i w:val="0"/>
          <w:smallCaps w:val="0"/>
          <w:strike w:val="0"/>
          <w:u w:val="none"/>
        </w:rPr>
        <w:t xml:space="preserve">.”112 In simple terms, </w:t>
      </w:r>
      <w:r>
        <w:rPr>
          <w:b w:val="0"/>
          <w:i w:val="0"/>
          <w:smallCaps w:val="0"/>
          <w:strike w:val="0"/>
          <w:sz w:val="22"/>
          <w:u w:val="single"/>
        </w:rPr>
        <w:t>the Takings Clause provides that the federal</w:t>
      </w:r>
      <w:r>
        <w:rPr>
          <w:b w:val="0"/>
          <w:i w:val="0"/>
          <w:smallCaps w:val="0"/>
          <w:strike w:val="0"/>
          <w:u w:val="none"/>
        </w:rPr>
        <w:t xml:space="preserve"> or state </w:t>
      </w:r>
      <w:r>
        <w:rPr>
          <w:b w:val="0"/>
          <w:i w:val="0"/>
          <w:smallCaps w:val="0"/>
          <w:strike w:val="0"/>
          <w:sz w:val="22"/>
          <w:u w:val="single"/>
        </w:rPr>
        <w:t>government</w:t>
      </w:r>
      <w:r>
        <w:rPr>
          <w:b w:val="0"/>
          <w:i w:val="0"/>
          <w:smallCaps w:val="0"/>
          <w:strike w:val="0"/>
          <w:u w:val="none"/>
        </w:rPr>
        <w:t xml:space="preserve">s113 </w:t>
      </w:r>
      <w:r>
        <w:rPr>
          <w:b w:val="0"/>
          <w:i w:val="0"/>
          <w:smallCaps w:val="0"/>
          <w:strike w:val="0"/>
          <w:sz w:val="22"/>
          <w:u w:val="single"/>
        </w:rPr>
        <w:t>may take</w:t>
      </w:r>
      <w:r>
        <w:rPr>
          <w:b w:val="0"/>
          <w:i w:val="0"/>
          <w:smallCaps w:val="0"/>
          <w:strike w:val="0"/>
          <w:u w:val="none"/>
        </w:rPr>
        <w:t xml:space="preserve"> an individual’s </w:t>
      </w:r>
      <w:r>
        <w:rPr>
          <w:b w:val="0"/>
          <w:i w:val="0"/>
          <w:smallCaps w:val="0"/>
          <w:strike w:val="0"/>
          <w:sz w:val="22"/>
          <w:u w:val="single"/>
        </w:rPr>
        <w:t>property only when (1) it is for a public use</w:t>
      </w:r>
      <w:r>
        <w:rPr>
          <w:b w:val="0"/>
          <w:i w:val="0"/>
          <w:smallCaps w:val="0"/>
          <w:strike w:val="0"/>
          <w:u w:val="none"/>
        </w:rPr>
        <w:t xml:space="preserve">;114 </w:t>
      </w:r>
      <w:r>
        <w:rPr>
          <w:b w:val="0"/>
          <w:i w:val="0"/>
          <w:smallCaps w:val="0"/>
          <w:strike w:val="0"/>
          <w:sz w:val="22"/>
          <w:u w:val="single"/>
        </w:rPr>
        <w:t>and</w:t>
      </w:r>
      <w:r>
        <w:rPr>
          <w:b w:val="0"/>
          <w:i w:val="0"/>
          <w:smallCaps w:val="0"/>
          <w:strike w:val="0"/>
          <w:u w:val="none"/>
        </w:rPr>
        <w:t xml:space="preserve"> (2) </w:t>
      </w:r>
      <w:r>
        <w:rPr>
          <w:b w:val="0"/>
          <w:i w:val="0"/>
          <w:smallCaps w:val="0"/>
          <w:strike w:val="0"/>
          <w:sz w:val="22"/>
          <w:u w:val="single"/>
        </w:rPr>
        <w:t>the government pays just compensation</w:t>
      </w:r>
      <w:r>
        <w:rPr>
          <w:b w:val="0"/>
          <w:i w:val="0"/>
          <w:smallCaps w:val="0"/>
          <w:strike w:val="0"/>
          <w:u w:val="none"/>
        </w:rPr>
        <w:t xml:space="preserve"> to the property owner.115 For example, consistent with the Takings Clause, the government may use its eminent domain power to appropriate real property for the construction of a railroad, as long as it pays the owner the fair market value of the land.116</w:t>
      </w:r>
    </w:p>
    <w:p>
      <w:pPr>
        <w:spacing w:after="60"/>
      </w:pPr>
      <w:r>
        <w:rPr>
          <w:b w:val="0"/>
          <w:i w:val="0"/>
          <w:smallCaps w:val="0"/>
          <w:strike w:val="0"/>
          <w:sz w:val="22"/>
          <w:u w:val="single"/>
        </w:rPr>
        <w:t>In decisions involving copyright in IBR standards, courts have</w:t>
      </w:r>
      <w:r>
        <w:rPr>
          <w:b w:val="0"/>
          <w:i w:val="0"/>
          <w:smallCaps w:val="0"/>
          <w:strike w:val="0"/>
          <w:u w:val="none"/>
        </w:rPr>
        <w:t xml:space="preserve"> </w:t>
      </w:r>
      <w:r>
        <w:rPr>
          <w:b w:val="0"/>
          <w:i w:val="0"/>
          <w:smallCaps w:val="0"/>
          <w:strike w:val="0"/>
          <w:sz w:val="22"/>
          <w:u w:val="single"/>
        </w:rPr>
        <w:t xml:space="preserve">sometimes </w:t>
      </w:r>
      <w:r>
        <w:rPr>
          <w:b/>
          <w:i w:val="0"/>
          <w:smallCaps w:val="0"/>
          <w:strike w:val="0"/>
          <w:sz w:val="22"/>
          <w:u w:val="single"/>
        </w:rPr>
        <w:t>invoked the Takings Clause</w:t>
      </w:r>
      <w:r>
        <w:rPr>
          <w:b w:val="0"/>
          <w:i w:val="0"/>
          <w:smallCaps w:val="0"/>
          <w:strike w:val="0"/>
          <w:sz w:val="22"/>
          <w:u w:val="single"/>
        </w:rPr>
        <w:t xml:space="preserve"> as a </w:t>
      </w:r>
      <w:r>
        <w:rPr>
          <w:b/>
          <w:i w:val="0"/>
          <w:smallCaps w:val="0"/>
          <w:strike w:val="0"/>
          <w:sz w:val="22"/>
          <w:u w:val="single"/>
        </w:rPr>
        <w:t>reason to be cautious</w:t>
      </w:r>
      <w:r>
        <w:rPr>
          <w:b w:val="0"/>
          <w:i w:val="0"/>
          <w:smallCaps w:val="0"/>
          <w:strike w:val="0"/>
          <w:sz w:val="22"/>
          <w:u w:val="single"/>
        </w:rPr>
        <w:t xml:space="preserve"> about holding that incorporation into law </w:t>
      </w:r>
      <w:r>
        <w:rPr>
          <w:b/>
          <w:i w:val="0"/>
          <w:smallCaps w:val="0"/>
          <w:strike w:val="0"/>
          <w:sz w:val="22"/>
          <w:u w:val="single"/>
        </w:rPr>
        <w:t>extinguishes the copyright</w:t>
      </w:r>
      <w:r>
        <w:rPr>
          <w:b w:val="0"/>
          <w:i w:val="0"/>
          <w:smallCaps w:val="0"/>
          <w:strike w:val="0"/>
          <w:u w:val="none"/>
        </w:rPr>
        <w:t xml:space="preserve"> in </w:t>
      </w:r>
      <w:r>
        <w:rPr>
          <w:b w:val="0"/>
          <w:i w:val="0"/>
          <w:smallCaps w:val="0"/>
          <w:strike w:val="0"/>
          <w:sz w:val="22"/>
          <w:u w:val="single"/>
        </w:rPr>
        <w:t>standards o</w:t>
      </w:r>
      <w:r>
        <w:rPr>
          <w:b w:val="0"/>
          <w:i w:val="0"/>
          <w:smallCaps w:val="0"/>
          <w:strike w:val="0"/>
          <w:u w:val="none"/>
        </w:rPr>
        <w:t xml:space="preserve">r model codes. For example, </w:t>
      </w:r>
      <w:r>
        <w:rPr>
          <w:b w:val="0"/>
          <w:i w:val="0"/>
          <w:smallCaps w:val="0"/>
          <w:strike w:val="0"/>
          <w:sz w:val="22"/>
          <w:u w:val="single"/>
        </w:rPr>
        <w:t xml:space="preserve">a </w:t>
      </w:r>
      <w:r>
        <w:rPr>
          <w:b/>
          <w:i w:val="0"/>
          <w:smallCaps w:val="0"/>
          <w:strike w:val="0"/>
          <w:sz w:val="22"/>
          <w:u w:val="single"/>
        </w:rPr>
        <w:t>recent district court decision</w:t>
      </w:r>
      <w:r>
        <w:rPr>
          <w:b w:val="0"/>
          <w:i w:val="0"/>
          <w:smallCaps w:val="0"/>
          <w:strike w:val="0"/>
          <w:sz w:val="22"/>
          <w:u w:val="single"/>
        </w:rPr>
        <w:t xml:space="preserve"> noted that “a bright line rule that any privately developed</w:t>
      </w:r>
      <w:r>
        <w:rPr>
          <w:b w:val="0"/>
          <w:i w:val="0"/>
          <w:smallCaps w:val="0"/>
          <w:strike w:val="0"/>
          <w:u w:val="none"/>
        </w:rPr>
        <w:t xml:space="preserve"> model </w:t>
      </w:r>
      <w:r>
        <w:rPr>
          <w:b w:val="0"/>
          <w:i w:val="0"/>
          <w:smallCaps w:val="0"/>
          <w:strike w:val="0"/>
          <w:sz w:val="22"/>
          <w:u w:val="single"/>
        </w:rPr>
        <w:t>code adopted into</w:t>
      </w:r>
      <w:r>
        <w:rPr>
          <w:b w:val="0"/>
          <w:i w:val="0"/>
          <w:smallCaps w:val="0"/>
          <w:strike w:val="0"/>
          <w:u w:val="none"/>
        </w:rPr>
        <w:t xml:space="preserve"> state </w:t>
      </w:r>
      <w:r>
        <w:rPr>
          <w:b w:val="0"/>
          <w:i w:val="0"/>
          <w:smallCaps w:val="0"/>
          <w:strike w:val="0"/>
          <w:sz w:val="22"/>
          <w:u w:val="single"/>
        </w:rPr>
        <w:t xml:space="preserve">law automatically becomes part of the public domain </w:t>
      </w:r>
      <w:r>
        <w:rPr>
          <w:b w:val="0"/>
          <w:i w:val="0"/>
          <w:smallCaps w:val="0"/>
          <w:strike w:val="0"/>
          <w:u w:val="none"/>
        </w:rPr>
        <w:t xml:space="preserve">. . . </w:t>
      </w:r>
      <w:r>
        <w:rPr>
          <w:b w:val="0"/>
          <w:i w:val="0"/>
          <w:smallCaps w:val="0"/>
          <w:strike w:val="0"/>
          <w:sz w:val="22"/>
          <w:u w:val="single"/>
        </w:rPr>
        <w:t xml:space="preserve">may raise </w:t>
      </w:r>
      <w:r>
        <w:rPr>
          <w:b/>
          <w:i w:val="0"/>
          <w:smallCaps w:val="0"/>
          <w:strike w:val="0"/>
          <w:sz w:val="22"/>
          <w:u w:val="single"/>
        </w:rPr>
        <w:t>significant concerns</w:t>
      </w:r>
      <w:r>
        <w:rPr>
          <w:b w:val="0"/>
          <w:i w:val="0"/>
          <w:smallCaps w:val="0"/>
          <w:strike w:val="0"/>
          <w:sz w:val="22"/>
          <w:u w:val="single"/>
        </w:rPr>
        <w:t xml:space="preserve"> </w:t>
      </w:r>
      <w:r>
        <w:rPr>
          <w:b/>
          <w:i w:val="0"/>
          <w:smallCaps w:val="0"/>
          <w:strike w:val="0"/>
          <w:sz w:val="22"/>
          <w:u w:val="single"/>
        </w:rPr>
        <w:t>under the Takings Clause</w:t>
      </w:r>
      <w:r>
        <w:rPr>
          <w:b w:val="0"/>
          <w:i w:val="0"/>
          <w:smallCaps w:val="0"/>
          <w:strike w:val="0"/>
          <w:u w:val="none"/>
        </w:rPr>
        <w:t>.”117 Other courts have rejected this reasoning, arguing that because SDOs urge governments to adopt their standards, the Takings Clause (which usually involves a coercive seizure of property) is inapplicable.118</w:t>
      </w:r>
    </w:p>
    <w:p>
      <w:pPr>
        <w:spacing w:after="60"/>
      </w:pPr>
      <w:r>
        <w:rPr>
          <w:b w:val="0"/>
          <w:i w:val="0"/>
          <w:smallCaps w:val="0"/>
          <w:strike w:val="0"/>
          <w:sz w:val="22"/>
          <w:u w:val="single"/>
        </w:rPr>
        <w:t>Although courts have discussed</w:t>
      </w:r>
      <w:r>
        <w:rPr>
          <w:b w:val="0"/>
          <w:i w:val="0"/>
          <w:smallCaps w:val="0"/>
          <w:strike w:val="0"/>
          <w:u w:val="none"/>
        </w:rPr>
        <w:t xml:space="preserve"> the </w:t>
      </w:r>
      <w:r>
        <w:rPr>
          <w:b w:val="0"/>
          <w:i w:val="0"/>
          <w:smallCaps w:val="0"/>
          <w:strike w:val="0"/>
          <w:sz w:val="22"/>
          <w:u w:val="single"/>
        </w:rPr>
        <w:t>Takings</w:t>
      </w:r>
      <w:r>
        <w:rPr>
          <w:b w:val="0"/>
          <w:i w:val="0"/>
          <w:smallCaps w:val="0"/>
          <w:strike w:val="0"/>
          <w:u w:val="none"/>
        </w:rPr>
        <w:t xml:space="preserve"> Clause </w:t>
      </w:r>
      <w:r>
        <w:rPr>
          <w:b w:val="0"/>
          <w:i w:val="0"/>
          <w:smallCaps w:val="0"/>
          <w:strike w:val="0"/>
          <w:sz w:val="22"/>
          <w:u w:val="single"/>
        </w:rPr>
        <w:t xml:space="preserve">in conjunction with other arguments, none of the cases discussed above involved a </w:t>
      </w:r>
      <w:r>
        <w:rPr>
          <w:b/>
          <w:i w:val="0"/>
          <w:smallCaps w:val="0"/>
          <w:strike w:val="0"/>
          <w:sz w:val="22"/>
          <w:u w:val="single"/>
        </w:rPr>
        <w:t>formal takings claim</w:t>
      </w:r>
      <w:r>
        <w:rPr>
          <w:b w:val="0"/>
          <w:i w:val="0"/>
          <w:smallCaps w:val="0"/>
          <w:strike w:val="0"/>
          <w:u w:val="none"/>
        </w:rPr>
        <w:t xml:space="preserve">, </w:t>
      </w:r>
      <w:r>
        <w:rPr>
          <w:b w:val="0"/>
          <w:i w:val="0"/>
          <w:smallCaps w:val="0"/>
          <w:strike w:val="0"/>
          <w:sz w:val="22"/>
          <w:u w:val="single"/>
        </w:rPr>
        <w:t xml:space="preserve">and it does not appear that any court has </w:t>
      </w:r>
      <w:r>
        <w:rPr>
          <w:b/>
          <w:i w:val="0"/>
          <w:smallCaps w:val="0"/>
          <w:strike w:val="0"/>
          <w:sz w:val="22"/>
          <w:u w:val="single"/>
        </w:rPr>
        <w:t>directly decided</w:t>
      </w:r>
      <w:r>
        <w:rPr>
          <w:b w:val="0"/>
          <w:i w:val="0"/>
          <w:smallCaps w:val="0"/>
          <w:strike w:val="0"/>
          <w:u w:val="none"/>
        </w:rPr>
        <w:t xml:space="preserve"> </w:t>
      </w:r>
      <w:r>
        <w:rPr>
          <w:b w:val="0"/>
          <w:i w:val="0"/>
          <w:smallCaps w:val="0"/>
          <w:strike w:val="0"/>
          <w:sz w:val="22"/>
          <w:u w:val="single"/>
        </w:rPr>
        <w:t>how</w:t>
      </w:r>
      <w:r>
        <w:rPr>
          <w:b w:val="0"/>
          <w:i w:val="0"/>
          <w:smallCaps w:val="0"/>
          <w:strike w:val="0"/>
          <w:u w:val="none"/>
        </w:rPr>
        <w:t xml:space="preserve"> the </w:t>
      </w:r>
      <w:r>
        <w:rPr>
          <w:b w:val="0"/>
          <w:i w:val="0"/>
          <w:smallCaps w:val="0"/>
          <w:strike w:val="0"/>
          <w:sz w:val="22"/>
          <w:u w:val="single"/>
        </w:rPr>
        <w:t>Takings</w:t>
      </w:r>
      <w:r>
        <w:rPr>
          <w:b w:val="0"/>
          <w:i w:val="0"/>
          <w:smallCaps w:val="0"/>
          <w:strike w:val="0"/>
          <w:u w:val="none"/>
        </w:rPr>
        <w:t xml:space="preserve"> Clause </w:t>
      </w:r>
      <w:r>
        <w:rPr>
          <w:b w:val="0"/>
          <w:i w:val="0"/>
          <w:smallCaps w:val="0"/>
          <w:strike w:val="0"/>
          <w:sz w:val="22"/>
          <w:u w:val="single"/>
        </w:rPr>
        <w:t>applies to IBR standards</w:t>
      </w:r>
      <w:r>
        <w:rPr>
          <w:b w:val="0"/>
          <w:i w:val="0"/>
          <w:smallCaps w:val="0"/>
          <w:strike w:val="0"/>
          <w:u w:val="none"/>
        </w:rPr>
        <w:t>. Theoretically, if the courts ruled that IBR standards fell into the public domain upon adoption into law, an SDO might sue the federal or state government under the Takings Clause for compensation based on the loss of their copyright. Under federal law, property owners may sue the United States for takings claims or copyright infringement in the U.S. Court of Federal Claims.119</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