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Otherwise, letting the </w:t>
      </w:r>
      <w:r>
        <w:rPr>
          <w:b/>
          <w:i w:val="0"/>
          <w:smallCaps w:val="0"/>
          <w:strike w:val="0"/>
          <w:sz w:val="26"/>
          <w:u w:val="none"/>
        </w:rPr>
        <w:t>ASTM</w:t>
      </w:r>
      <w:r>
        <w:rPr>
          <w:b/>
          <w:i w:val="0"/>
          <w:smallCaps w:val="0"/>
          <w:strike w:val="0"/>
          <w:sz w:val="26"/>
          <w:u w:val="none"/>
        </w:rPr>
        <w:t xml:space="preserve"> case stand will </w:t>
      </w:r>
      <w:r>
        <w:rPr>
          <w:b/>
          <w:i w:val="0"/>
          <w:smallCaps w:val="0"/>
          <w:strike w:val="0"/>
          <w:sz w:val="26"/>
          <w:u w:val="single"/>
        </w:rPr>
        <w:t>reverse progress</w:t>
      </w:r>
      <w:r>
        <w:rPr>
          <w:b/>
          <w:i w:val="0"/>
          <w:smallCaps w:val="0"/>
          <w:strike w:val="0"/>
          <w:sz w:val="26"/>
          <w:u w:val="none"/>
        </w:rPr>
        <w:t xml:space="preserve">. AND incorporation by reference makes the problem </w:t>
      </w:r>
      <w:r>
        <w:rPr>
          <w:b/>
          <w:i w:val="0"/>
          <w:smallCaps w:val="0"/>
          <w:strike w:val="0"/>
          <w:sz w:val="26"/>
          <w:u w:val="single"/>
        </w:rPr>
        <w:t>worse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Zorn and Pennington 18</w:t>
      </w:r>
      <w:r>
        <w:rPr>
          <w:b w:val="0"/>
          <w:i w:val="0"/>
          <w:smallCaps w:val="0"/>
          <w:strike w:val="0"/>
          <w:u w:val="none"/>
        </w:rPr>
        <w:t xml:space="preserve"> – Partner at Yetter Coleman LLP, J.D. from Columbia Law School; Associate at Yetter Coleman LLP.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Matthew Zorn and Shane Pennington, “Questions Raised By Laws That Use Copyrighted Standards?,” Law360, 08-02-2018, https://www.yettercoleman.com/wp-content/uploads/2018/08/Law360-Questions-Raised-by-Laws-That-Use-Copyrighted-Standards.pdf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While skirting these broader issues, </w:t>
      </w:r>
      <w:r>
        <w:rPr>
          <w:b w:val="0"/>
          <w:i w:val="0"/>
          <w:smallCaps w:val="0"/>
          <w:strike w:val="0"/>
          <w:sz w:val="22"/>
          <w:u w:val="single"/>
        </w:rPr>
        <w:t>the D.C. Circuit did not mention another issue lurking beneath the surface of these</w:t>
      </w:r>
      <w:r>
        <w:rPr>
          <w:b w:val="0"/>
          <w:i w:val="0"/>
          <w:smallCaps w:val="0"/>
          <w:strike w:val="0"/>
          <w:u w:val="none"/>
        </w:rPr>
        <w:t xml:space="preserve"> incorporation-of-</w:t>
      </w:r>
      <w:r>
        <w:rPr>
          <w:b w:val="0"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u w:val="none"/>
        </w:rPr>
        <w:t xml:space="preserve">-into-law </w:t>
      </w:r>
      <w:r>
        <w:rPr>
          <w:b w:val="0"/>
          <w:i w:val="0"/>
          <w:smallCaps w:val="0"/>
          <w:strike w:val="0"/>
          <w:sz w:val="22"/>
          <w:u w:val="single"/>
        </w:rPr>
        <w:t>cases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/>
          <w:i w:val="0"/>
          <w:smallCaps w:val="0"/>
          <w:strike w:val="0"/>
          <w:sz w:val="22"/>
          <w:u w:val="single"/>
        </w:rPr>
        <w:t>the takings clause</w:t>
      </w:r>
      <w:r>
        <w:rPr>
          <w:b w:val="0"/>
          <w:i w:val="0"/>
          <w:smallCaps w:val="0"/>
          <w:strike w:val="0"/>
          <w:u w:val="none"/>
        </w:rPr>
        <w:t>.[18]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takings</w:t>
      </w:r>
      <w:r>
        <w:rPr>
          <w:b w:val="0"/>
          <w:i w:val="0"/>
          <w:smallCaps w:val="0"/>
          <w:strike w:val="0"/>
          <w:u w:val="none"/>
        </w:rPr>
        <w:t xml:space="preserve"> clause of the Fifth Amendment </w:t>
      </w:r>
      <w:r>
        <w:rPr>
          <w:b w:val="0"/>
          <w:i w:val="0"/>
          <w:smallCaps w:val="0"/>
          <w:strike w:val="0"/>
          <w:sz w:val="22"/>
          <w:u w:val="single"/>
        </w:rPr>
        <w:t>prohibits the federal government from taking private property</w:t>
      </w:r>
      <w:r>
        <w:rPr>
          <w:b w:val="0"/>
          <w:i w:val="0"/>
          <w:smallCaps w:val="0"/>
          <w:strike w:val="0"/>
          <w:u w:val="none"/>
        </w:rPr>
        <w:t xml:space="preserve"> for public use </w:t>
      </w:r>
      <w:r>
        <w:rPr>
          <w:b w:val="0"/>
          <w:i w:val="0"/>
          <w:smallCaps w:val="0"/>
          <w:strike w:val="0"/>
          <w:sz w:val="22"/>
          <w:u w:val="single"/>
        </w:rPr>
        <w:t>without just compensatio</w:t>
      </w:r>
      <w:r>
        <w:rPr>
          <w:b w:val="0"/>
          <w:i w:val="0"/>
          <w:smallCaps w:val="0"/>
          <w:strike w:val="0"/>
          <w:u w:val="none"/>
        </w:rPr>
        <w:t xml:space="preserve">n. Through the 14th Amendment, it also applies to the states. Put simply, </w:t>
      </w:r>
      <w:r>
        <w:rPr>
          <w:b w:val="0"/>
          <w:i w:val="0"/>
          <w:smallCaps w:val="0"/>
          <w:strike w:val="0"/>
          <w:sz w:val="22"/>
          <w:u w:val="single"/>
        </w:rPr>
        <w:t>if incorporation permits free copying</w:t>
      </w:r>
      <w:r>
        <w:rPr>
          <w:b w:val="0"/>
          <w:i w:val="0"/>
          <w:smallCaps w:val="0"/>
          <w:strike w:val="0"/>
          <w:u w:val="none"/>
        </w:rPr>
        <w:t xml:space="preserve"> of a protected work — </w:t>
      </w:r>
      <w:r>
        <w:rPr>
          <w:b w:val="0"/>
          <w:i w:val="0"/>
          <w:smallCaps w:val="0"/>
          <w:strike w:val="0"/>
          <w:sz w:val="22"/>
          <w:u w:val="single"/>
        </w:rPr>
        <w:t>via fair use or effective revocation</w:t>
      </w:r>
      <w:r>
        <w:rPr>
          <w:b w:val="0"/>
          <w:i w:val="0"/>
          <w:smallCaps w:val="0"/>
          <w:strike w:val="0"/>
          <w:u w:val="none"/>
        </w:rPr>
        <w:t xml:space="preserve"> of the copyright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might destroy the copyright’s value and give rise to a </w:t>
      </w:r>
      <w:r>
        <w:rPr>
          <w:b/>
          <w:i w:val="0"/>
          <w:smallCaps w:val="0"/>
          <w:strike w:val="0"/>
          <w:sz w:val="22"/>
          <w:u w:val="single"/>
        </w:rPr>
        <w:t>takings claim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Second Circuit recognized that possibility</w:t>
      </w:r>
      <w:r>
        <w:rPr>
          <w:b w:val="0"/>
          <w:i w:val="0"/>
          <w:smallCaps w:val="0"/>
          <w:strike w:val="0"/>
          <w:u w:val="none"/>
        </w:rPr>
        <w:t xml:space="preserve"> in CCC, </w:t>
      </w:r>
      <w:r>
        <w:rPr>
          <w:b w:val="0"/>
          <w:i w:val="0"/>
          <w:smallCaps w:val="0"/>
          <w:strike w:val="0"/>
          <w:sz w:val="22"/>
          <w:u w:val="single"/>
        </w:rPr>
        <w:t>noting that an incorporation rule could raise “</w:t>
      </w:r>
      <w:r>
        <w:rPr>
          <w:b/>
          <w:i w:val="0"/>
          <w:smallCaps w:val="0"/>
          <w:strike w:val="0"/>
          <w:sz w:val="22"/>
          <w:u w:val="single"/>
        </w:rPr>
        <w:t>very substantial problems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the </w:t>
      </w:r>
      <w:r>
        <w:rPr>
          <w:b/>
          <w:i w:val="0"/>
          <w:smallCaps w:val="0"/>
          <w:strike w:val="0"/>
          <w:sz w:val="22"/>
          <w:u w:val="single"/>
        </w:rPr>
        <w:t>Takings Clause</w:t>
      </w:r>
      <w:r>
        <w:rPr>
          <w:b w:val="0"/>
          <w:i w:val="0"/>
          <w:smallCaps w:val="0"/>
          <w:strike w:val="0"/>
          <w:u w:val="none"/>
        </w:rPr>
        <w:t>.”[19]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view is plausible, at the very least. </w:t>
      </w:r>
      <w:r>
        <w:rPr>
          <w:b w:val="0"/>
          <w:i w:val="0"/>
          <w:smallCaps w:val="0"/>
          <w:strike w:val="0"/>
          <w:sz w:val="22"/>
          <w:u w:val="single"/>
        </w:rPr>
        <w:t>Although the Supreme Court has never expressly held that the takings clause covers copyrights, Ruckelshaus v. Monsanto Co.[20] provides ample support for the proposition</w:t>
      </w:r>
      <w:r>
        <w:rPr>
          <w:b w:val="0"/>
          <w:i w:val="0"/>
          <w:smallCaps w:val="0"/>
          <w:strike w:val="0"/>
          <w:u w:val="none"/>
        </w:rPr>
        <w:t xml:space="preserve">. There, Monsanto claimed that certain provisions of Federal Insecticide, Fungicide and Rodenticide Act requiring public disclosure of submitted data effected a takings of trade secrets.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Supreme Court </w:t>
      </w:r>
      <w:r>
        <w:rPr>
          <w:b/>
          <w:i w:val="0"/>
          <w:smallCaps w:val="0"/>
          <w:strike w:val="0"/>
          <w:sz w:val="22"/>
          <w:u w:val="single"/>
        </w:rPr>
        <w:t>agreed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held the takings clause </w:t>
      </w:r>
      <w:r>
        <w:rPr>
          <w:b/>
          <w:i w:val="0"/>
          <w:smallCaps w:val="0"/>
          <w:strike w:val="0"/>
          <w:sz w:val="22"/>
          <w:u w:val="single"/>
        </w:rPr>
        <w:t>encompasses intangible interests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</w:t>
      </w:r>
      <w:r>
        <w:rPr>
          <w:b/>
          <w:i w:val="0"/>
          <w:smallCaps w:val="0"/>
          <w:strike w:val="0"/>
          <w:sz w:val="22"/>
          <w:u w:val="single"/>
        </w:rPr>
        <w:t>trade secrets</w:t>
      </w:r>
      <w:r>
        <w:rPr>
          <w:b w:val="0"/>
          <w:i w:val="0"/>
          <w:smallCaps w:val="0"/>
          <w:strike w:val="0"/>
          <w:u w:val="none"/>
        </w:rPr>
        <w:t xml:space="preserve">. Of course,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same reasoning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apply to copyrights.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More support comes from Oil States Energy Services LLC v. Greene’s Energy Group LLC</w:t>
      </w:r>
      <w:r>
        <w:rPr>
          <w:b w:val="0"/>
          <w:i w:val="0"/>
          <w:smallCaps w:val="0"/>
          <w:strike w:val="0"/>
          <w:u w:val="none"/>
        </w:rPr>
        <w:t xml:space="preserve">,[21] decided in the October 2017 term. There, </w:t>
      </w:r>
      <w:r>
        <w:rPr>
          <w:b w:val="0"/>
          <w:i w:val="0"/>
          <w:smallCaps w:val="0"/>
          <w:strike w:val="0"/>
          <w:sz w:val="22"/>
          <w:u w:val="single"/>
        </w:rPr>
        <w:t>the Supreme Court held that patents were</w:t>
      </w:r>
      <w:r>
        <w:rPr>
          <w:b w:val="0"/>
          <w:i w:val="0"/>
          <w:smallCaps w:val="0"/>
          <w:strike w:val="0"/>
          <w:u w:val="none"/>
        </w:rPr>
        <w:t xml:space="preserve"> personal </w:t>
      </w:r>
      <w:r>
        <w:rPr>
          <w:b w:val="0"/>
          <w:i w:val="0"/>
          <w:smallCaps w:val="0"/>
          <w:strike w:val="0"/>
          <w:sz w:val="22"/>
          <w:u w:val="single"/>
        </w:rPr>
        <w:t>property rights in the form of “public franchises.”</w:t>
      </w:r>
      <w:r>
        <w:rPr>
          <w:b w:val="0"/>
          <w:i w:val="0"/>
          <w:smallCaps w:val="0"/>
          <w:strike w:val="0"/>
          <w:u w:val="none"/>
        </w:rPr>
        <w:t xml:space="preserve"> Although the Copyright Act contains no analogue to Section 261 of the Patent Act,[22] the Supreme Court has long held that the copyrights and patents create the same sort of property right. </w:t>
      </w:r>
      <w:r>
        <w:rPr>
          <w:b w:val="0"/>
          <w:i w:val="0"/>
          <w:smallCaps w:val="0"/>
          <w:strike w:val="0"/>
          <w:sz w:val="22"/>
          <w:u w:val="single"/>
        </w:rPr>
        <w:t>That is significant because the Takings Clause protects against direct appropriations of personal property</w:t>
      </w:r>
      <w:r>
        <w:rPr>
          <w:b w:val="0"/>
          <w:i w:val="0"/>
          <w:smallCaps w:val="0"/>
          <w:strike w:val="0"/>
          <w:u w:val="none"/>
        </w:rPr>
        <w:t xml:space="preserve">.[23] Thus,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copyrights are a type of personal property as Oil States implies, they could be the </w:t>
      </w:r>
      <w:r>
        <w:rPr>
          <w:b/>
          <w:i w:val="0"/>
          <w:smallCaps w:val="0"/>
          <w:strike w:val="0"/>
          <w:sz w:val="22"/>
          <w:u w:val="single"/>
        </w:rPr>
        <w:t>subject of a takings claim</w:t>
      </w:r>
      <w:r>
        <w:rPr>
          <w:b w:val="0"/>
          <w:i w:val="0"/>
          <w:smallCaps w:val="0"/>
          <w:strike w:val="0"/>
          <w:u w:val="none"/>
        </w:rPr>
        <w:t>.[24]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concern that nonconsensual incorporation of a copyrighted works into law might violate the takings clause is </w:t>
      </w:r>
      <w:r>
        <w:rPr>
          <w:b/>
          <w:i w:val="0"/>
          <w:smallCaps w:val="0"/>
          <w:strike w:val="0"/>
          <w:sz w:val="22"/>
          <w:u w:val="single"/>
        </w:rPr>
        <w:t>real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Incorporating a copyrighted standard or code is appropriating the copyrighted work for a public use</w:t>
      </w:r>
      <w:r>
        <w:rPr>
          <w:b w:val="0"/>
          <w:i w:val="0"/>
          <w:smallCaps w:val="0"/>
          <w:strike w:val="0"/>
          <w:u w:val="none"/>
        </w:rPr>
        <w:t xml:space="preserve">, i.e., the creation of law. And the sine qua non of copyright is control over publication.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Once the government opens the door to free copying through incorporation, it effectively </w:t>
      </w:r>
      <w:r>
        <w:rPr>
          <w:b/>
          <w:i w:val="0"/>
          <w:smallCaps w:val="0"/>
          <w:strike w:val="0"/>
          <w:sz w:val="22"/>
          <w:u w:val="single"/>
        </w:rPr>
        <w:t>obliterates the copyright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