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It’s the key issue.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Burroughs 24</w:t>
      </w:r>
      <w:r>
        <w:rPr>
          <w:b w:val="0"/>
          <w:i w:val="0"/>
          <w:smallCaps w:val="0"/>
          <w:strike w:val="0"/>
          <w:u w:val="none"/>
        </w:rPr>
        <w:t xml:space="preserve"> – J.D. Candidate at the University of Chicago School of Law.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John Burroughs, “Incorporated Standards and Fair Use: Remaining Uncertainties Set the Stage for Further Litigation,” The University of Chicago Business Law Review, https://businesslawreview.uchicago.edu/online-archive/incorporated-standards-and-fair-use-remaining-uncertainties-set-stage-further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Ultimately,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most important issue</w:t>
      </w:r>
      <w:r>
        <w:rPr>
          <w:b w:val="0"/>
          <w:i w:val="0"/>
          <w:smallCaps w:val="0"/>
          <w:strike w:val="0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the opinion raises is</w:t>
      </w:r>
      <w:r>
        <w:rPr>
          <w:b w:val="0"/>
          <w:i w:val="0"/>
          <w:smallCaps w:val="0"/>
          <w:strike w:val="0"/>
          <w:u w:val="none"/>
        </w:rPr>
        <w:t xml:space="preserve"> likely </w:t>
      </w:r>
      <w:r>
        <w:rPr>
          <w:b w:val="0"/>
          <w:i w:val="0"/>
          <w:smallCaps w:val="0"/>
          <w:strike w:val="0"/>
          <w:sz w:val="22"/>
          <w:u w:val="single"/>
        </w:rPr>
        <w:t>whether or not incorporation</w:t>
      </w:r>
      <w:r>
        <w:rPr>
          <w:b w:val="0"/>
          <w:i w:val="0"/>
          <w:smallCaps w:val="0"/>
          <w:strike w:val="0"/>
          <w:u w:val="none"/>
        </w:rPr>
        <w:t xml:space="preserve"> by reference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now constitutes a </w:t>
      </w:r>
      <w:r>
        <w:rPr>
          <w:b/>
          <w:i w:val="0"/>
          <w:smallCaps w:val="0"/>
          <w:strike w:val="0"/>
          <w:sz w:val="22"/>
          <w:u w:val="single"/>
        </w:rPr>
        <w:t>taking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sufficient to trigger the protections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</w:t>
      </w:r>
      <w:r>
        <w:rPr>
          <w:b/>
          <w:i w:val="0"/>
          <w:smallCaps w:val="0"/>
          <w:strike w:val="0"/>
          <w:sz w:val="22"/>
          <w:u w:val="single"/>
        </w:rPr>
        <w:t>Takings Clause</w:t>
      </w:r>
      <w:r>
        <w:rPr>
          <w:b w:val="0"/>
          <w:i w:val="0"/>
          <w:smallCaps w:val="0"/>
          <w:strike w:val="0"/>
          <w:u w:val="none"/>
        </w:rPr>
        <w:t xml:space="preserve">.37 Surprisingly,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is </w:t>
      </w:r>
      <w:r>
        <w:rPr>
          <w:b/>
          <w:i w:val="0"/>
          <w:smallCaps w:val="0"/>
          <w:strike w:val="0"/>
          <w:sz w:val="22"/>
          <w:u w:val="single"/>
        </w:rPr>
        <w:t>not clear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if copyright is considered “private property” for the purposes of the Takings Clause</w:t>
      </w:r>
      <w:r>
        <w:rPr>
          <w:b w:val="0"/>
          <w:i w:val="0"/>
          <w:smallCaps w:val="0"/>
          <w:strike w:val="0"/>
          <w:u w:val="none"/>
        </w:rPr>
        <w:t>,38 and vigorous scholarly debate has produced arguments on both sides of this issue.39 However</w:t>
      </w:r>
      <w:r>
        <w:rPr>
          <w:b w:val="0"/>
          <w:i w:val="0"/>
          <w:smallCaps w:val="0"/>
          <w:strike w:val="0"/>
          <w:sz w:val="22"/>
          <w:u w:val="single"/>
        </w:rPr>
        <w:t>, the Supreme Court has held that trade secrets are “private property” protected by the Takings Clause and that copyrights are a property interest protected by the Fourteenth Amendment’s Due Process Clause, which</w:t>
      </w:r>
      <w:r>
        <w:rPr>
          <w:b w:val="0"/>
          <w:i w:val="0"/>
          <w:smallCaps w:val="0"/>
          <w:strike w:val="0"/>
          <w:u w:val="none"/>
        </w:rPr>
        <w:t xml:space="preserve"> together </w:t>
      </w:r>
      <w:r>
        <w:rPr>
          <w:b w:val="0"/>
          <w:i w:val="0"/>
          <w:smallCaps w:val="0"/>
          <w:strike w:val="0"/>
          <w:sz w:val="22"/>
          <w:u w:val="single"/>
        </w:rPr>
        <w:t>suggest that copyrights</w:t>
      </w:r>
      <w:r>
        <w:rPr>
          <w:b w:val="0"/>
          <w:i w:val="0"/>
          <w:smallCaps w:val="0"/>
          <w:strike w:val="0"/>
          <w:u w:val="none"/>
        </w:rPr>
        <w:t xml:space="preserve"> likely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fall within the scope of </w:t>
      </w:r>
      <w:r>
        <w:rPr>
          <w:b w:val="0"/>
          <w:i w:val="0"/>
          <w:smallCaps w:val="0"/>
          <w:strike w:val="0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>Takings</w:t>
      </w:r>
      <w:r>
        <w:rPr>
          <w:b w:val="0"/>
          <w:i w:val="0"/>
          <w:smallCaps w:val="0"/>
          <w:strike w:val="0"/>
          <w:u w:val="none"/>
        </w:rPr>
        <w:t xml:space="preserve"> Clause.40 Even assuming this, however, </w:t>
      </w:r>
      <w:r>
        <w:rPr>
          <w:b w:val="0"/>
          <w:i w:val="0"/>
          <w:smallCaps w:val="0"/>
          <w:strike w:val="0"/>
          <w:sz w:val="22"/>
          <w:u w:val="single"/>
        </w:rPr>
        <w:t>it remains uncertain whether or not the losses that incorporation</w:t>
      </w:r>
      <w:r>
        <w:rPr>
          <w:b w:val="0"/>
          <w:i w:val="0"/>
          <w:smallCaps w:val="0"/>
          <w:strike w:val="0"/>
          <w:u w:val="none"/>
        </w:rPr>
        <w:t xml:space="preserve"> by reference </w:t>
      </w:r>
      <w:r>
        <w:rPr>
          <w:b w:val="0"/>
          <w:i w:val="0"/>
          <w:smallCaps w:val="0"/>
          <w:strike w:val="0"/>
          <w:sz w:val="22"/>
          <w:u w:val="single"/>
        </w:rPr>
        <w:t>causes for copyright holders would be considered a per se taking</w:t>
      </w:r>
      <w:r>
        <w:rPr>
          <w:b w:val="0"/>
          <w:i w:val="0"/>
          <w:smallCaps w:val="0"/>
          <w:strike w:val="0"/>
          <w:u w:val="none"/>
        </w:rPr>
        <w:t xml:space="preserve"> (mandating compensation) or a regulatory taking (requiring consideration of a balance of factors).41 Given that the copyright in the standard itself is not taken, but rather the value in holding the copyright is reduced by permitting fair-use publication, it seems that a regulatory taking is the more likely classification, though this would make it more difficult for SDOs to receive compensation.42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