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Incorporating standards are takings.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Griffin and Saunders 24</w:t>
      </w:r>
      <w:r>
        <w:rPr>
          <w:b w:val="0"/>
          <w:i w:val="0"/>
          <w:smallCaps w:val="0"/>
          <w:strike w:val="0"/>
          <w:u w:val="none"/>
        </w:rPr>
        <w:t xml:space="preserve"> – Senior Vice President and General Counsel at the American National Standards Institute, J.D. from Albany Law School; Senior Vice President of Public Policy at the American National Standards Institute.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Patricia A. Griffin and Maury Saunders, “ANSI Publishes Action Brief on IBR Landscape for SDOs,” American National Standards Institute, 05-09-2024, https://www.ansi.org/standards-news/all-news/2024/05/5-9-24-ansi-publishes-action-brief-on-ibr-landscape-for-sdos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For example, SDOs may urge that: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Governments consider alternative means to incorporate their standards to continue to benefit from efficiencies that result from incorporation by reference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Courts recognize the significant property interest in copyrighted standards.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Decisions like the ASTM decision are </w:t>
      </w:r>
      <w:r>
        <w:rPr>
          <w:b/>
          <w:i w:val="0"/>
          <w:smallCaps w:val="0"/>
          <w:strike w:val="0"/>
          <w:sz w:val="22"/>
          <w:u w:val="single"/>
        </w:rPr>
        <w:t>tantamount to a “taking”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sufficient to </w:t>
      </w:r>
      <w:r>
        <w:rPr>
          <w:b/>
          <w:i w:val="0"/>
          <w:smallCaps w:val="0"/>
          <w:strike w:val="0"/>
          <w:sz w:val="22"/>
          <w:u w:val="single"/>
        </w:rPr>
        <w:t>trigger the protections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the Takings Clause of the U.S. Constitution.</w:t>
      </w:r>
    </w:p>
    <w:p>
      <w:pPr>
        <w:pStyle w:val="Caption"/>
      </w:pPr>
      <w:r>
        <w:t>Source: SDOs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