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BUT </w:t>
      </w:r>
      <w:r>
        <w:rPr>
          <w:b/>
          <w:i w:val="0"/>
          <w:smallCaps w:val="0"/>
          <w:strike w:val="0"/>
          <w:sz w:val="26"/>
          <w:u w:val="single"/>
        </w:rPr>
        <w:t>profitability</w:t>
      </w:r>
      <w:r>
        <w:rPr>
          <w:b/>
          <w:i w:val="0"/>
          <w:smallCaps w:val="0"/>
          <w:strike w:val="0"/>
          <w:sz w:val="26"/>
          <w:u w:val="none"/>
        </w:rPr>
        <w:t xml:space="preserve"> must be balanced with </w:t>
      </w:r>
      <w:r>
        <w:rPr>
          <w:b/>
          <w:i w:val="0"/>
          <w:smallCaps w:val="0"/>
          <w:strike w:val="0"/>
          <w:sz w:val="26"/>
          <w:u w:val="single"/>
        </w:rPr>
        <w:t>transparency</w:t>
      </w:r>
      <w:r>
        <w:rPr>
          <w:b/>
          <w:i w:val="0"/>
          <w:smallCaps w:val="0"/>
          <w:strike w:val="0"/>
          <w:sz w:val="26"/>
          <w:u w:val="none"/>
        </w:rPr>
        <w:t xml:space="preserve"> to gain leadership. Increasing transparency is key to international </w:t>
      </w:r>
      <w:r>
        <w:rPr>
          <w:b/>
          <w:i w:val="0"/>
          <w:smallCaps w:val="0"/>
          <w:strike w:val="0"/>
          <w:sz w:val="26"/>
          <w:u w:val="single"/>
        </w:rPr>
        <w:t>legitimacy</w:t>
      </w:r>
      <w:r>
        <w:rPr>
          <w:b/>
          <w:i w:val="0"/>
          <w:smallCaps w:val="0"/>
          <w:strike w:val="0"/>
          <w:sz w:val="26"/>
          <w:u w:val="none"/>
        </w:rPr>
        <w:t xml:space="preserve">, but maintaining the </w:t>
      </w:r>
      <w:r>
        <w:rPr>
          <w:b/>
          <w:i w:val="0"/>
          <w:smallCaps w:val="0"/>
          <w:strike w:val="0"/>
          <w:sz w:val="26"/>
          <w:u w:val="single"/>
        </w:rPr>
        <w:t>current revenue structure</w:t>
      </w:r>
      <w:r>
        <w:rPr>
          <w:b/>
          <w:i w:val="0"/>
          <w:smallCaps w:val="0"/>
          <w:strike w:val="0"/>
          <w:sz w:val="26"/>
          <w:u w:val="none"/>
        </w:rPr>
        <w:t xml:space="preserve"> is vital for the </w:t>
      </w:r>
      <w:r>
        <w:rPr>
          <w:b/>
          <w:i w:val="0"/>
          <w:smallCaps w:val="0"/>
          <w:strike w:val="0"/>
          <w:sz w:val="26"/>
          <w:u w:val="single"/>
        </w:rPr>
        <w:t>survival of the SDO industry</w:t>
      </w:r>
      <w:r>
        <w:rPr>
          <w:b/>
          <w:i w:val="0"/>
          <w:smallCaps w:val="0"/>
          <w:strike w:val="0"/>
          <w:sz w:val="26"/>
          <w:u w:val="none"/>
        </w:rPr>
        <w:t>.</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u w:val="none"/>
        </w:rPr>
        <w:t xml:space="preserve">Ultimately, it will fall on standards development organizations to do the most to broaden participation. </w:t>
      </w:r>
      <w:r>
        <w:rPr>
          <w:b w:val="0"/>
          <w:i w:val="0"/>
          <w:smallCaps w:val="0"/>
          <w:strike w:val="0"/>
          <w:sz w:val="22"/>
          <w:u w:val="single"/>
        </w:rPr>
        <w:t xml:space="preserve">The increased </w:t>
      </w:r>
      <w:r>
        <w:rPr>
          <w:b/>
          <w:i w:val="0"/>
          <w:smallCaps w:val="0"/>
          <w:strike w:val="0"/>
          <w:sz w:val="22"/>
          <w:u w:val="single"/>
        </w:rPr>
        <w:t>importance</w:t>
      </w:r>
      <w:r>
        <w:rPr>
          <w:b w:val="0"/>
          <w:i w:val="0"/>
          <w:smallCaps w:val="0"/>
          <w:strike w:val="0"/>
          <w:sz w:val="22"/>
          <w:u w:val="single"/>
        </w:rPr>
        <w:t xml:space="preserve"> and </w:t>
      </w:r>
      <w:r>
        <w:rPr>
          <w:b/>
          <w:i w:val="0"/>
          <w:smallCaps w:val="0"/>
          <w:strike w:val="0"/>
          <w:sz w:val="22"/>
          <w:u w:val="single"/>
        </w:rPr>
        <w:t>visibility</w:t>
      </w:r>
      <w:r>
        <w:rPr>
          <w:b w:val="0"/>
          <w:i w:val="0"/>
          <w:smallCaps w:val="0"/>
          <w:strike w:val="0"/>
          <w:sz w:val="22"/>
          <w:u w:val="single"/>
        </w:rPr>
        <w:t xml:space="preserve"> of standards places SDOs at a </w:t>
      </w:r>
      <w:r>
        <w:rPr>
          <w:b/>
          <w:i w:val="0"/>
          <w:smallCaps w:val="0"/>
          <w:strike w:val="0"/>
          <w:sz w:val="22"/>
          <w:u w:val="single"/>
        </w:rPr>
        <w:t>watershed</w:t>
      </w:r>
      <w:r>
        <w:rPr>
          <w:b w:val="0"/>
          <w:i w:val="0"/>
          <w:smallCaps w:val="0"/>
          <w:strike w:val="0"/>
          <w:u w:val="none"/>
        </w:rPr>
        <w:t>—</w:t>
      </w:r>
      <w:r>
        <w:rPr>
          <w:b w:val="0"/>
          <w:i w:val="0"/>
          <w:smallCaps w:val="0"/>
          <w:strike w:val="0"/>
          <w:sz w:val="22"/>
          <w:u w:val="single"/>
        </w:rPr>
        <w:t>especially with respect to A</w:t>
      </w:r>
      <w:r>
        <w:rPr>
          <w:b w:val="0"/>
          <w:i w:val="0"/>
          <w:smallCaps w:val="0"/>
          <w:strike w:val="0"/>
          <w:u w:val="none"/>
        </w:rPr>
        <w:t xml:space="preserve">I. No technology has ever achieved the level of adoption and awareness generative AI has over the past 18 months and, as the 2023 pace of initiatives on AI policy demonstrates, </w:t>
      </w:r>
      <w:r>
        <w:rPr>
          <w:b w:val="0"/>
          <w:i w:val="0"/>
          <w:smallCaps w:val="0"/>
          <w:strike w:val="0"/>
          <w:sz w:val="22"/>
          <w:u w:val="single"/>
        </w:rPr>
        <w:t xml:space="preserve">demand for technologies that are </w:t>
      </w:r>
      <w:r>
        <w:rPr>
          <w:b/>
          <w:i w:val="0"/>
          <w:smallCaps w:val="0"/>
          <w:strike w:val="0"/>
          <w:sz w:val="22"/>
          <w:u w:val="single"/>
        </w:rPr>
        <w:t>safe</w:t>
      </w:r>
      <w:r>
        <w:rPr>
          <w:b w:val="0"/>
          <w:i w:val="0"/>
          <w:smallCaps w:val="0"/>
          <w:strike w:val="0"/>
          <w:sz w:val="22"/>
          <w:u w:val="single"/>
        </w:rPr>
        <w:t xml:space="preserve"> and</w:t>
      </w:r>
      <w:r>
        <w:rPr>
          <w:b w:val="0"/>
          <w:i w:val="0"/>
          <w:smallCaps w:val="0"/>
          <w:strike w:val="0"/>
          <w:sz w:val="22"/>
          <w:u w:val="single"/>
        </w:rPr>
        <w:t xml:space="preserve"> </w:t>
      </w:r>
      <w:r>
        <w:rPr>
          <w:b/>
          <w:i w:val="0"/>
          <w:smallCaps w:val="0"/>
          <w:strike w:val="0"/>
          <w:sz w:val="22"/>
          <w:u w:val="single"/>
        </w:rPr>
        <w:t>trustworthy</w:t>
      </w:r>
      <w:r>
        <w:rPr>
          <w:b w:val="0"/>
          <w:i w:val="0"/>
          <w:smallCaps w:val="0"/>
          <w:strike w:val="0"/>
          <w:sz w:val="22"/>
          <w:u w:val="single"/>
        </w:rPr>
        <w:t xml:space="preserve"> is </w:t>
      </w:r>
      <w:r>
        <w:rPr>
          <w:b/>
          <w:i w:val="0"/>
          <w:smallCaps w:val="0"/>
          <w:strike w:val="0"/>
          <w:sz w:val="22"/>
          <w:u w:val="single"/>
        </w:rPr>
        <w:t>widely felt</w:t>
      </w:r>
      <w:r>
        <w:rPr>
          <w:b w:val="0"/>
          <w:i w:val="0"/>
          <w:smallCaps w:val="0"/>
          <w:strike w:val="0"/>
          <w:u w:val="none"/>
        </w:rPr>
        <w:t>. This puts a spotlight on major SDOs that deal with information technology.</w:t>
      </w:r>
    </w:p>
    <w:p>
      <w:pPr>
        <w:spacing w:after="60"/>
      </w:pPr>
      <w:r>
        <w:rPr>
          <w:b w:val="0"/>
          <w:i w:val="0"/>
          <w:smallCaps w:val="0"/>
          <w:strike w:val="0"/>
          <w:u w:val="none"/>
        </w:rPr>
        <w:t xml:space="preserve">In response, these SDOs will need to adapt their roles. Historically, they have operated primarily as industry organizations. They have evolved systems of consultation and convening toward consensus that have proved well-suited to the demands of technology and the marketplace and remain essential to effective standards development. For standards that combine social with technical components, however, </w:t>
      </w:r>
      <w:r>
        <w:rPr>
          <w:b w:val="0"/>
          <w:i w:val="0"/>
          <w:smallCaps w:val="0"/>
          <w:strike w:val="0"/>
          <w:sz w:val="22"/>
          <w:u w:val="single"/>
        </w:rPr>
        <w:t xml:space="preserve">SDOs must also take on broader roles as </w:t>
      </w:r>
      <w:r>
        <w:rPr>
          <w:b/>
          <w:i w:val="0"/>
          <w:smallCaps w:val="0"/>
          <w:strike w:val="0"/>
          <w:sz w:val="22"/>
          <w:u w:val="single"/>
        </w:rPr>
        <w:t>stewards of the public interest</w:t>
      </w:r>
      <w:r>
        <w:rPr>
          <w:b w:val="0"/>
          <w:i w:val="0"/>
          <w:smallCaps w:val="0"/>
          <w:strike w:val="0"/>
          <w:u w:val="none"/>
        </w:rPr>
        <w:t xml:space="preserve">. </w:t>
      </w:r>
      <w:r>
        <w:rPr>
          <w:b w:val="0"/>
          <w:i w:val="0"/>
          <w:smallCaps w:val="0"/>
          <w:strike w:val="0"/>
          <w:sz w:val="22"/>
          <w:u w:val="single"/>
        </w:rPr>
        <w:t xml:space="preserve">This must include </w:t>
      </w:r>
      <w:r>
        <w:rPr>
          <w:b/>
          <w:i w:val="0"/>
          <w:smallCaps w:val="0"/>
          <w:strike w:val="0"/>
          <w:sz w:val="22"/>
          <w:u w:val="single"/>
        </w:rPr>
        <w:t>additional efforts toward transparency</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accountability</w:t>
      </w:r>
      <w:r>
        <w:rPr>
          <w:b w:val="0"/>
          <w:i w:val="0"/>
          <w:smallCaps w:val="0"/>
          <w:strike w:val="0"/>
          <w:sz w:val="22"/>
          <w:u w:val="single"/>
        </w:rPr>
        <w:t xml:space="preserve"> to the broader public, which will help </w:t>
      </w:r>
      <w:r>
        <w:rPr>
          <w:b/>
          <w:i w:val="0"/>
          <w:smallCaps w:val="0"/>
          <w:strike w:val="0"/>
          <w:sz w:val="22"/>
          <w:u w:val="single"/>
        </w:rPr>
        <w:t>legitimacy of their outcomes</w:t>
      </w:r>
      <w:r>
        <w:rPr>
          <w:b w:val="0"/>
          <w:i w:val="0"/>
          <w:smallCaps w:val="0"/>
          <w:strike w:val="0"/>
          <w:sz w:val="22"/>
          <w:u w:val="single"/>
        </w:rPr>
        <w:t xml:space="preserve"> and </w:t>
      </w:r>
      <w:r>
        <w:rPr>
          <w:b/>
          <w:i w:val="0"/>
          <w:smallCaps w:val="0"/>
          <w:strike w:val="0"/>
          <w:sz w:val="22"/>
          <w:u w:val="single"/>
        </w:rPr>
        <w:t>strengthen insulation against undue influence</w:t>
      </w:r>
      <w:r>
        <w:rPr>
          <w:b w:val="0"/>
          <w:i w:val="0"/>
          <w:smallCaps w:val="0"/>
          <w:strike w:val="0"/>
          <w:u w:val="none"/>
        </w:rPr>
        <w:t xml:space="preserve"> from government industrial strategies or from other actors.</w:t>
      </w:r>
    </w:p>
    <w:p>
      <w:pPr>
        <w:spacing w:after="60"/>
      </w:pPr>
      <w:r>
        <w:rPr>
          <w:b w:val="0"/>
          <w:i w:val="0"/>
          <w:smallCaps w:val="0"/>
          <w:strike w:val="0"/>
          <w:sz w:val="22"/>
          <w:u w:val="single"/>
        </w:rPr>
        <w:t xml:space="preserve">This evolution includes </w:t>
      </w:r>
      <w:r>
        <w:rPr>
          <w:b/>
          <w:i w:val="0"/>
          <w:smallCaps w:val="0"/>
          <w:strike w:val="0"/>
          <w:sz w:val="22"/>
          <w:u w:val="single"/>
        </w:rPr>
        <w:t>increasing transparency</w:t>
      </w:r>
      <w:r>
        <w:rPr>
          <w:b w:val="0"/>
          <w:i w:val="0"/>
          <w:smallCaps w:val="0"/>
          <w:strike w:val="0"/>
          <w:sz w:val="22"/>
          <w:u w:val="single"/>
        </w:rPr>
        <w:t>. The release of final standards is complicated by the dependence of most SDOs on subscriptions, memberships, or licensing for their revenue</w:t>
      </w:r>
      <w:r>
        <w:rPr>
          <w:b w:val="0"/>
          <w:i w:val="0"/>
          <w:smallCaps w:val="0"/>
          <w:strike w:val="0"/>
          <w:u w:val="none"/>
        </w:rPr>
        <w:t xml:space="preserve">. They are nonprofits that cover costs of their activities with such revenues, and therefore place them behind paywalls. Although there are some alternative funding models, </w:t>
      </w:r>
      <w:r>
        <w:rPr>
          <w:b w:val="0"/>
          <w:i w:val="0"/>
          <w:smallCaps w:val="0"/>
          <w:strike w:val="0"/>
          <w:sz w:val="22"/>
          <w:u w:val="single"/>
        </w:rPr>
        <w:t xml:space="preserve">these revenues are chiefly what </w:t>
      </w:r>
      <w:r>
        <w:rPr>
          <w:b/>
          <w:i w:val="0"/>
          <w:smallCaps w:val="0"/>
          <w:strike w:val="0"/>
          <w:sz w:val="22"/>
          <w:u w:val="single"/>
        </w:rPr>
        <w:t>sustain the system of standardization</w:t>
      </w:r>
      <w:r>
        <w:rPr>
          <w:b w:val="0"/>
          <w:i w:val="0"/>
          <w:smallCaps w:val="0"/>
          <w:strike w:val="0"/>
          <w:sz w:val="22"/>
          <w:u w:val="single"/>
        </w:rPr>
        <w:t>.</w:t>
      </w:r>
    </w:p>
    <w:p>
      <w:pPr>
        <w:spacing w:after="60"/>
      </w:pPr>
      <w:r>
        <w:rPr>
          <w:b w:val="0"/>
          <w:i w:val="0"/>
          <w:smallCaps w:val="0"/>
          <w:strike w:val="0"/>
          <w:sz w:val="22"/>
          <w:u w:val="single"/>
        </w:rPr>
        <w:t xml:space="preserve">SDOs nevertheless have been able to take </w:t>
      </w:r>
      <w:r>
        <w:rPr>
          <w:b/>
          <w:i w:val="0"/>
          <w:smallCaps w:val="0"/>
          <w:strike w:val="0"/>
          <w:sz w:val="22"/>
          <w:u w:val="single"/>
        </w:rPr>
        <w:t>steps toward access</w:t>
      </w:r>
      <w:r>
        <w:rPr>
          <w:b w:val="0"/>
          <w:i w:val="0"/>
          <w:smallCaps w:val="0"/>
          <w:strike w:val="0"/>
          <w:u w:val="none"/>
        </w:rPr>
        <w:t xml:space="preserve"> to some final standards. In the U.S., when standards are incorporated by reference into law or regulation, </w:t>
      </w:r>
      <w:r>
        <w:rPr>
          <w:b w:val="0"/>
          <w:i w:val="0"/>
          <w:smallCaps w:val="0"/>
          <w:strike w:val="0"/>
          <w:sz w:val="22"/>
          <w:u w:val="single"/>
        </w:rPr>
        <w:t>federal regulations require that such standards be “reasonably available,”</w:t>
      </w:r>
      <w:r>
        <w:rPr>
          <w:b w:val="0"/>
          <w:i w:val="0"/>
          <w:smallCaps w:val="0"/>
          <w:strike w:val="0"/>
          <w:u w:val="none"/>
        </w:rPr>
        <w:t>115 which agencies can accomplish by posting them in read-only format on their websites during rulemaking or on the website of the copyright holder.116 Many individual SDOs as well as ANSI acting as a hub have taken steps over the past decade to provide access to standards on some basis; these include IEC, ISO, the British Standards Institute, and IEEE.117</w:t>
      </w:r>
    </w:p>
    <w:p>
      <w:pPr>
        <w:spacing w:after="60"/>
      </w:pPr>
      <w:r>
        <w:rPr>
          <w:b w:val="0"/>
          <w:i w:val="0"/>
          <w:smallCaps w:val="0"/>
          <w:strike w:val="0"/>
          <w:sz w:val="22"/>
          <w:u w:val="single"/>
        </w:rPr>
        <w:t>Certain</w:t>
      </w:r>
      <w:r>
        <w:rPr>
          <w:b w:val="0"/>
          <w:i w:val="0"/>
          <w:smallCaps w:val="0"/>
          <w:strike w:val="0"/>
          <w:u w:val="none"/>
        </w:rPr>
        <w:t xml:space="preserve"> AI </w:t>
      </w:r>
      <w:r>
        <w:rPr>
          <w:b w:val="0"/>
          <w:i w:val="0"/>
          <w:smallCaps w:val="0"/>
          <w:strike w:val="0"/>
          <w:sz w:val="22"/>
          <w:u w:val="single"/>
        </w:rPr>
        <w:t>standards of public importance should be made</w:t>
      </w:r>
      <w:r>
        <w:rPr>
          <w:b w:val="0"/>
          <w:i w:val="0"/>
          <w:smallCaps w:val="0"/>
          <w:strike w:val="0"/>
          <w:u w:val="none"/>
        </w:rPr>
        <w:t xml:space="preserve"> publicly </w:t>
      </w:r>
      <w:r>
        <w:rPr>
          <w:b w:val="0"/>
          <w:i w:val="0"/>
          <w:smallCaps w:val="0"/>
          <w:strike w:val="0"/>
          <w:sz w:val="22"/>
          <w:u w:val="single"/>
        </w:rPr>
        <w:t>available</w:t>
      </w:r>
      <w:r>
        <w:rPr>
          <w:b w:val="0"/>
          <w:i w:val="0"/>
          <w:smallCaps w:val="0"/>
          <w:strike w:val="0"/>
          <w:u w:val="none"/>
        </w:rPr>
        <w:t xml:space="preserve">, at least in read-only format, as ASTM International did with a standard for personal protective equipment during the COVID-19 pandemic,118 and IEEE has done with its GET program.119 At a minimum, such information should be available to those within certain defined categories, such as media, academia, and nonprofits, and could be protected from republication by nondisclosure agreements. A leading example of such a significant AI standard is the first risk management standard, ISO/ IEC 42001 issued in December 2023. This long-awaited standard addresses a common element of AI frameworks including the EU AI Act and the NIST RMF. </w:t>
      </w:r>
      <w:r>
        <w:rPr>
          <w:b w:val="0"/>
          <w:i w:val="0"/>
          <w:smallCaps w:val="0"/>
          <w:strike w:val="0"/>
          <w:sz w:val="22"/>
          <w:u w:val="single"/>
        </w:rPr>
        <w:t>ISO has recognized the public significance of such work</w:t>
      </w:r>
      <w:r>
        <w:rPr>
          <w:b w:val="0"/>
          <w:i w:val="0"/>
          <w:smallCaps w:val="0"/>
          <w:strike w:val="0"/>
          <w:u w:val="none"/>
        </w:rPr>
        <w:t xml:space="preserve"> by honoring the ISO/ IEC JTC 1/SC 42 committee with its annual standards leadership award in 2023 </w:t>
      </w:r>
      <w:r>
        <w:rPr>
          <w:b w:val="0"/>
          <w:i w:val="0"/>
          <w:smallCaps w:val="0"/>
          <w:strike w:val="0"/>
          <w:sz w:val="22"/>
          <w:u w:val="single"/>
        </w:rPr>
        <w:t>as “</w:t>
      </w:r>
      <w:r>
        <w:rPr>
          <w:b/>
          <w:i w:val="0"/>
          <w:smallCaps w:val="0"/>
          <w:strike w:val="0"/>
          <w:sz w:val="22"/>
          <w:u w:val="single"/>
        </w:rPr>
        <w:t>critical to addressing global challenges</w:t>
      </w:r>
      <w:r>
        <w:rPr>
          <w:b w:val="0"/>
          <w:i w:val="0"/>
          <w:smallCaps w:val="0"/>
          <w:strike w:val="0"/>
          <w:sz w:val="22"/>
          <w:u w:val="single"/>
        </w:rPr>
        <w:t xml:space="preserve"> and </w:t>
      </w:r>
      <w:r>
        <w:rPr>
          <w:b/>
          <w:i w:val="0"/>
          <w:smallCaps w:val="0"/>
          <w:strike w:val="0"/>
          <w:sz w:val="22"/>
          <w:u w:val="single"/>
        </w:rPr>
        <w:t>accelerating progress</w:t>
      </w:r>
      <w:r>
        <w:rPr>
          <w:b w:val="0"/>
          <w:i w:val="0"/>
          <w:smallCaps w:val="0"/>
          <w:strike w:val="0"/>
          <w:sz w:val="22"/>
          <w:u w:val="single"/>
        </w:rPr>
        <w:t xml:space="preserve"> toward a </w:t>
      </w:r>
      <w:r>
        <w:rPr>
          <w:b/>
          <w:i w:val="0"/>
          <w:smallCaps w:val="0"/>
          <w:strike w:val="0"/>
          <w:sz w:val="22"/>
          <w:u w:val="single"/>
        </w:rPr>
        <w:t>more sustainable</w:t>
      </w:r>
      <w:r>
        <w:rPr>
          <w:b w:val="0"/>
          <w:i w:val="0"/>
          <w:smallCaps w:val="0"/>
          <w:strike w:val="0"/>
          <w:sz w:val="22"/>
          <w:u w:val="single"/>
        </w:rPr>
        <w:t xml:space="preserve">, </w:t>
      </w:r>
      <w:r>
        <w:rPr>
          <w:b/>
          <w:i w:val="0"/>
          <w:smallCaps w:val="0"/>
          <w:strike w:val="0"/>
          <w:sz w:val="22"/>
          <w:u w:val="single"/>
        </w:rPr>
        <w:t>equitable</w:t>
      </w:r>
      <w:r>
        <w:rPr>
          <w:b w:val="0"/>
          <w:i w:val="0"/>
          <w:smallCaps w:val="0"/>
          <w:strike w:val="0"/>
          <w:sz w:val="22"/>
          <w:u w:val="single"/>
        </w:rPr>
        <w:t xml:space="preserve"> and </w:t>
      </w:r>
      <w:r>
        <w:rPr>
          <w:b/>
          <w:i w:val="0"/>
          <w:smallCaps w:val="0"/>
          <w:strike w:val="0"/>
          <w:sz w:val="22"/>
          <w:u w:val="single"/>
        </w:rPr>
        <w:t>inclusive world</w:t>
      </w:r>
      <w:r>
        <w:rPr>
          <w:b w:val="0"/>
          <w:i w:val="0"/>
          <w:smallCaps w:val="0"/>
          <w:strike w:val="0"/>
          <w:u w:val="none"/>
        </w:rPr>
        <w:t>.”120</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