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Only the </w:t>
      </w:r>
      <w:r>
        <w:rPr>
          <w:b/>
          <w:i w:val="0"/>
          <w:smallCaps w:val="0"/>
          <w:strike w:val="0"/>
          <w:sz w:val="26"/>
          <w:u w:val="none"/>
        </w:rPr>
        <w:t>PCA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single"/>
        </w:rPr>
        <w:t>resolves confusion</w:t>
      </w:r>
      <w:r>
        <w:rPr>
          <w:b/>
          <w:i w:val="0"/>
          <w:smallCaps w:val="0"/>
          <w:strike w:val="0"/>
          <w:sz w:val="26"/>
          <w:u w:val="none"/>
        </w:rPr>
        <w:t xml:space="preserve"> created by competing court decisions.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Hickey 23</w:t>
      </w:r>
      <w:r>
        <w:rPr>
          <w:b w:val="0"/>
          <w:i w:val="0"/>
          <w:smallCaps w:val="0"/>
          <w:strike w:val="0"/>
          <w:u w:val="none"/>
        </w:rPr>
        <w:t xml:space="preserve"> – Legislative Attorney at the Congressional Research Service, former Fellow at the University of California, Berkeley, J.D. from New York University School of Law.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Kevin J. Hickey, “Copyright in Standards Incorporated by Reference into Law and the Pro Codes Act,” Congressional Research Service, 09-26-2023, https://sgp.fas.org/crs/misc/R47656.pdf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Given that the Copyright Act does not directly speak to the issue, the scope of the copyright in IBR standards has </w:t>
      </w:r>
      <w:r>
        <w:rPr>
          <w:b/>
          <w:i w:val="0"/>
          <w:smallCaps w:val="0"/>
          <w:strike w:val="0"/>
          <w:sz w:val="22"/>
          <w:u w:val="single"/>
        </w:rPr>
        <w:t>largely been developed by the courts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An</w:t>
      </w:r>
      <w:r>
        <w:rPr>
          <w:b w:val="0"/>
          <w:i w:val="0"/>
          <w:smallCaps w:val="0"/>
          <w:strike w:val="0"/>
          <w:u w:val="none"/>
        </w:rPr>
        <w:t xml:space="preserve">other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issue that Congress may consider, then, is whether it wishes to permit </w:t>
      </w:r>
      <w:r>
        <w:rPr>
          <w:b/>
          <w:i w:val="0"/>
          <w:smallCaps w:val="0"/>
          <w:strike w:val="0"/>
          <w:sz w:val="22"/>
          <w:u w:val="single"/>
        </w:rPr>
        <w:t>continued judicial development</w:t>
      </w:r>
      <w:r>
        <w:rPr>
          <w:b w:val="0"/>
          <w:i w:val="0"/>
          <w:smallCaps w:val="0"/>
          <w:strike w:val="0"/>
          <w:u w:val="none"/>
        </w:rPr>
        <w:t xml:space="preserve"> in this area,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or to </w:t>
      </w:r>
      <w:r>
        <w:rPr>
          <w:b/>
          <w:i w:val="0"/>
          <w:smallCaps w:val="0"/>
          <w:strike w:val="0"/>
          <w:sz w:val="22"/>
          <w:u w:val="single"/>
        </w:rPr>
        <w:t>intervene through legislation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such as the </w:t>
      </w:r>
      <w:r>
        <w:rPr>
          <w:b/>
          <w:i w:val="0"/>
          <w:smallCaps w:val="0"/>
          <w:strike w:val="0"/>
          <w:sz w:val="22"/>
          <w:u w:val="single"/>
        </w:rPr>
        <w:t>Pro Codes Act.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As different regional federal appeals courts have </w:t>
      </w:r>
      <w:r>
        <w:rPr>
          <w:b/>
          <w:i w:val="0"/>
          <w:smallCaps w:val="0"/>
          <w:strike w:val="0"/>
          <w:sz w:val="22"/>
          <w:u w:val="single"/>
        </w:rPr>
        <w:t>reached different conclusions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legislation may have the benefit of </w:t>
      </w:r>
      <w:r>
        <w:rPr>
          <w:b/>
          <w:i w:val="0"/>
          <w:smallCaps w:val="0"/>
          <w:strike w:val="0"/>
          <w:sz w:val="22"/>
          <w:u w:val="single"/>
        </w:rPr>
        <w:t>promoting national uniformity</w:t>
      </w:r>
      <w:r>
        <w:rPr>
          <w:b w:val="0"/>
          <w:i w:val="0"/>
          <w:smallCaps w:val="0"/>
          <w:strike w:val="0"/>
          <w:u w:val="none"/>
        </w:rPr>
        <w:t xml:space="preserve"> on the issue. Alternatively, one may argue courts are better positioned to account for differences in IBR standards and uses of them through case-by-case application of doctrines such as fair use.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