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the best solution.</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u w:val="none"/>
        </w:rPr>
        <w:t xml:space="preserve">A bill introduced in the 118th Congress, the Pro Codes Act (H.R. 1631 and S. 835), seeks to address this issue legislatively. </w:t>
      </w:r>
      <w:r>
        <w:rPr>
          <w:b w:val="0"/>
          <w:i w:val="0"/>
          <w:smallCaps w:val="0"/>
          <w:strike w:val="0"/>
          <w:sz w:val="22"/>
          <w:u w:val="single"/>
        </w:rPr>
        <w:t>The Pro Codes Act would explicitly provide that otherwise copyrightable IBR standards retain their copyright protection even after a government incorporates them into law. At the same time, the bill would require that SDOs make IBR standards publicly accessible online in a readable format at no monetary cost to users</w:t>
      </w:r>
      <w:r>
        <w:rPr>
          <w:b w:val="0"/>
          <w:i w:val="0"/>
          <w:smallCaps w:val="0"/>
          <w:strike w:val="0"/>
          <w:u w:val="none"/>
        </w:rPr>
        <w:t>. The Pro Codes Act would not require SDOs to make IBR standards available for printing or download, and SDOs could require users to agree to terms and conditions before accessing the standards.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