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Only copyright creates dissemination of new innovations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NIST 20</w:t>
      </w:r>
      <w:r>
        <w:rPr>
          <w:b w:val="0"/>
          <w:i w:val="0"/>
          <w:smallCaps w:val="0"/>
          <w:strike w:val="0"/>
          <w:u w:val="none"/>
        </w:rPr>
        <w:t xml:space="preserve"> – a division of the U.S. Department of Commerce.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Institute of Standards and Technology, “An In-Depth Look into Intellectual Property: Part One,” National Institute of Standards and Technology, 01-10-2020, https://www.nist.gov/news-events/news/2020/01/depth-look-intellectual-property-part-one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development and management of intellectual property (</w:t>
      </w:r>
      <w:r>
        <w:rPr>
          <w:b w:val="0"/>
          <w:i w:val="0"/>
          <w:smallCaps w:val="0"/>
          <w:strike w:val="0"/>
          <w:sz w:val="22"/>
          <w:u w:val="single"/>
        </w:rPr>
        <w:t>IP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a </w:t>
      </w:r>
      <w:r>
        <w:rPr>
          <w:b/>
          <w:i w:val="0"/>
          <w:smallCaps w:val="0"/>
          <w:strike w:val="0"/>
          <w:sz w:val="22"/>
          <w:u w:val="single"/>
        </w:rPr>
        <w:t>vital component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technology transfer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can </w:t>
      </w:r>
      <w:r>
        <w:rPr>
          <w:b/>
          <w:i w:val="0"/>
          <w:smallCaps w:val="0"/>
          <w:strike w:val="0"/>
          <w:sz w:val="22"/>
          <w:u w:val="single"/>
        </w:rPr>
        <w:t>enhance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accelerate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adoption of results by businesses to make products and services available in the </w:t>
      </w:r>
      <w:r>
        <w:rPr>
          <w:b/>
          <w:i w:val="0"/>
          <w:smallCaps w:val="0"/>
          <w:strike w:val="0"/>
          <w:sz w:val="22"/>
          <w:u w:val="single"/>
        </w:rPr>
        <w:t>overall economy</w:t>
      </w:r>
      <w:r>
        <w:rPr>
          <w:b w:val="0"/>
          <w:i w:val="0"/>
          <w:smallCaps w:val="0"/>
          <w:strike w:val="0"/>
          <w:u w:val="none"/>
        </w:rPr>
        <w:t>.  While there are federal laws, regulations and government-wide policies, NIST’s own internal policies and strategy for identification, protection and management of intellectual property rights of all parties will form a common understanding and basis for more rapid technology transfer.  While a clearly articulated strategy is important, each business transaction has unique aspects and some flexibility is needed to address issues based on the numerous variables involved.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