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Perm: do both --- mandating incorporation by reference is not mutually exclusive with expanding copyright protections --- perm is the best of both worlds.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Griffin and Saunders 24</w:t>
      </w:r>
      <w:r>
        <w:rPr>
          <w:b w:val="0"/>
          <w:i w:val="0"/>
          <w:smallCaps w:val="0"/>
          <w:strike w:val="0"/>
          <w:u w:val="none"/>
        </w:rPr>
        <w:t xml:space="preserve"> – Senior Vice President and General Counsel at the American National Standards Institute, J.D. from Albany Law School; Senior Vice President of Public Policy at the American National Standards Institute.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Patricia A. Griffin and Maury Saunders, “ANSI Publishes Action Brief on IBR Landscape for SDOs,” American National Standards Institute, 05-09-2024, https://www.ansi.org/standards-news/all-news/2024/05/5-9-24-ansi-publishes-action-brief-on-ibr-landscape-for-sdos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IBR is a practice by</w:t>
      </w:r>
      <w:r>
        <w:rPr>
          <w:b w:val="0"/>
          <w:i w:val="0"/>
          <w:smallCaps w:val="0"/>
          <w:strike w:val="0"/>
          <w:u w:val="none"/>
        </w:rPr>
        <w:t xml:space="preserve"> federal, state, local, and Tribal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authorities of </w:t>
      </w:r>
      <w:r>
        <w:rPr>
          <w:b/>
          <w:i w:val="0"/>
          <w:smallCaps w:val="0"/>
          <w:strike w:val="0"/>
          <w:sz w:val="22"/>
          <w:u w:val="single"/>
        </w:rPr>
        <w:t>referencing standards into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regulations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SDOs make their works available for use by governmental entities </w:t>
      </w:r>
      <w:r>
        <w:rPr>
          <w:b w:val="0"/>
          <w:i w:val="0"/>
          <w:smallCaps w:val="0"/>
          <w:strike w:val="0"/>
          <w:u w:val="none"/>
        </w:rPr>
        <w:t xml:space="preserve">in setting safety and other regulations when those entities deem it in the public interest,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with the understanding that these works will </w:t>
      </w:r>
      <w:r>
        <w:rPr>
          <w:b/>
          <w:i w:val="0"/>
          <w:smallCaps w:val="0"/>
          <w:strike w:val="0"/>
          <w:sz w:val="22"/>
          <w:u w:val="single"/>
        </w:rPr>
        <w:t>retain their copyright protection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provides SDOs the ability to maintain control of the works that they create and to </w:t>
      </w:r>
      <w:r>
        <w:rPr>
          <w:b/>
          <w:i w:val="0"/>
          <w:smallCaps w:val="0"/>
          <w:strike w:val="0"/>
          <w:sz w:val="22"/>
          <w:u w:val="single"/>
        </w:rPr>
        <w:t>generate revenue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the sale and licensing of these works, which</w:t>
      </w:r>
      <w:r>
        <w:rPr>
          <w:b w:val="0"/>
          <w:i w:val="0"/>
          <w:smallCaps w:val="0"/>
          <w:strike w:val="0"/>
          <w:u w:val="none"/>
        </w:rPr>
        <w:t xml:space="preserve">, in turn,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enables SDOs to sustain their ongoing standards </w:t>
      </w:r>
      <w:r>
        <w:rPr>
          <w:b/>
          <w:i w:val="0"/>
          <w:smallCaps w:val="0"/>
          <w:strike w:val="0"/>
          <w:sz w:val="22"/>
          <w:u w:val="single"/>
        </w:rPr>
        <w:t>creation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refinement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updating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u w:val="none"/>
        </w:rPr>
        <w:t>Recent case law, however, is trending towards limiting copyright protection in IBR’d standards.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