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That undermines all aspects of standards creation.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Supporters of the Pro Codes Act, including SDOs such as the National Fire Protection Association, argue that their work creating standards provides “critical public benefits.”135 If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incorporation by reference destroys copyright protection, SDOs maintain that they will no longer be able to fund their activities by </w:t>
      </w:r>
      <w:r>
        <w:rPr>
          <w:b/>
          <w:i w:val="0"/>
          <w:smallCaps w:val="0"/>
          <w:strike w:val="0"/>
          <w:sz w:val="22"/>
          <w:u w:val="single"/>
        </w:rPr>
        <w:t>publishing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selling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licensing their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professionals who use them</w:t>
      </w:r>
      <w:r>
        <w:rPr>
          <w:b w:val="0"/>
          <w:i w:val="0"/>
          <w:smallCaps w:val="0"/>
          <w:strike w:val="0"/>
          <w:u w:val="none"/>
        </w:rPr>
        <w:t>.136 SDOs also note that they already permit free viewing of their standards by the public online.137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