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CP links to the democracy DA just as much as the plan.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Although the EPA and FAA frequently incorporate materials other than standards, the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incorporation by reference of private standards is controversial because these standards </w:t>
      </w:r>
      <w:r>
        <w:rPr>
          <w:b w:val="0"/>
          <w:i w:val="0"/>
          <w:smallCaps w:val="0"/>
          <w:strike w:val="0"/>
          <w:u w:val="none"/>
        </w:rPr>
        <w:t xml:space="preserve">are developed by nongovernmental SSOs that often make them only available for a fee. Of course, by law all materials incorporated by reference </w:t>
      </w:r>
      <w:r>
        <w:rPr>
          <w:b w:val="0"/>
          <w:i w:val="0"/>
          <w:smallCaps w:val="0"/>
          <w:strike w:val="0"/>
          <w:sz w:val="22"/>
          <w:u w:val="single"/>
        </w:rPr>
        <w:t>must be "reasonably available," which has traditionally meant public inspection at OFR and in the relevant agency's library</w:t>
      </w:r>
      <w:r>
        <w:rPr>
          <w:b w:val="0"/>
          <w:i w:val="0"/>
          <w:smallCaps w:val="0"/>
          <w:strike w:val="0"/>
          <w:u w:val="none"/>
        </w:rPr>
        <w:t xml:space="preserve">. 23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in-person physical availability is </w:t>
      </w:r>
      <w:r>
        <w:rPr>
          <w:b/>
          <w:i w:val="0"/>
          <w:smallCaps w:val="0"/>
          <w:strike w:val="0"/>
          <w:sz w:val="22"/>
          <w:u w:val="single"/>
        </w:rPr>
        <w:t>theoretically free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but it </w:t>
      </w:r>
      <w:r>
        <w:rPr>
          <w:b/>
          <w:i w:val="0"/>
          <w:smallCaps w:val="0"/>
          <w:strike w:val="0"/>
          <w:sz w:val="22"/>
          <w:u w:val="single"/>
        </w:rPr>
        <w:t>requires an in-person visit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usually to Washington, D.C..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