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There’s no meaningful difference between the plan and the CP.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Bremer 22</w:t>
      </w:r>
      <w:r>
        <w:rPr>
          <w:b w:val="0"/>
          <w:i w:val="0"/>
          <w:smallCaps w:val="0"/>
          <w:strike w:val="0"/>
          <w:u w:val="none"/>
        </w:rPr>
        <w:t xml:space="preserve"> – Professor of Law at the University of Notre Dame, J.D. from New York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Emily S. Bremer, “Introducing Incorporation by Reference,” The Regulatory Review, 08-24-2022, https://www.theregreview.org/2022/08/24/bremer-introducing-incorporation-by-reference/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Through</w:t>
      </w:r>
      <w:r>
        <w:rPr>
          <w:b w:val="0"/>
          <w:i w:val="0"/>
          <w:smallCaps w:val="0"/>
          <w:strike w:val="0"/>
          <w:u w:val="none"/>
        </w:rPr>
        <w:t xml:space="preserve"> the practice of </w:t>
      </w:r>
      <w:r>
        <w:rPr>
          <w:b w:val="0"/>
          <w:i w:val="0"/>
          <w:smallCaps w:val="0"/>
          <w:strike w:val="0"/>
          <w:sz w:val="22"/>
          <w:u w:val="single"/>
        </w:rPr>
        <w:t>incorporation by reference, government agencies enact into law the standards developed</w:t>
      </w:r>
      <w:r>
        <w:rPr>
          <w:b w:val="0"/>
          <w:i w:val="0"/>
          <w:smallCaps w:val="0"/>
          <w:strike w:val="0"/>
          <w:u w:val="none"/>
        </w:rPr>
        <w:t xml:space="preserve"> by private organizations—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often </w:t>
      </w:r>
      <w:r>
        <w:rPr>
          <w:b/>
          <w:i w:val="0"/>
          <w:smallCaps w:val="0"/>
          <w:strike w:val="0"/>
          <w:sz w:val="22"/>
          <w:u w:val="single"/>
        </w:rPr>
        <w:t>without giving the public free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easy access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what those private standards say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It is a modest caricature to say that incorporation by reference allows government officials to shortcut their work by imposing on individuals and businesses the relatively secret dictates of private actors. I</w:t>
      </w:r>
      <w:r>
        <w:rPr>
          <w:b w:val="0"/>
          <w:i w:val="0"/>
          <w:smallCaps w:val="0"/>
          <w:strike w:val="0"/>
          <w:u w:val="none"/>
        </w:rPr>
        <w:t>ntroduced this way, incorporation by reference should pique the interest of professional students and anyone interested in the rule of law.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