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public has to visit D.C. to see the standards.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Thousands of binding federal regulations "incorporate by reference"</w:t>
      </w:r>
      <w:r>
        <w:rPr>
          <w:b w:val="0"/>
          <w:i w:val="0"/>
          <w:smallCaps w:val="0"/>
          <w:strike w:val="0"/>
          <w:u w:val="none"/>
        </w:rPr>
        <w:t xml:space="preserve"> material that is contained in standards drafted by private organizations. In many instances,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members of the public can </w:t>
      </w:r>
      <w:r>
        <w:rPr>
          <w:b/>
          <w:i w:val="0"/>
          <w:smallCaps w:val="0"/>
          <w:strike w:val="0"/>
          <w:sz w:val="22"/>
          <w:u w:val="single"/>
        </w:rPr>
        <w:t>obtain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such material </w:t>
      </w:r>
      <w:r>
        <w:rPr>
          <w:b/>
          <w:i w:val="0"/>
          <w:smallCaps w:val="0"/>
          <w:strike w:val="0"/>
          <w:sz w:val="22"/>
          <w:u w:val="single"/>
        </w:rPr>
        <w:t>only by visiting a reading room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Washington, D.C., or by purchasing a copy of the standard</w:t>
      </w:r>
      <w:r>
        <w:rPr>
          <w:b w:val="0"/>
          <w:i w:val="0"/>
          <w:smallCaps w:val="0"/>
          <w:strike w:val="0"/>
          <w:u w:val="none"/>
        </w:rPr>
        <w:t xml:space="preserve"> from the organization that created it.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limited access can </w:t>
      </w:r>
      <w:r>
        <w:rPr>
          <w:b/>
          <w:i w:val="0"/>
          <w:smallCaps w:val="0"/>
          <w:strike w:val="0"/>
          <w:sz w:val="22"/>
          <w:u w:val="single"/>
        </w:rPr>
        <w:t>create a cost barrier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small businesses that wish to ascertain their obligations under these regulations, as well as for citizens who wish to comment on pending regulations</w:t>
      </w:r>
      <w:r>
        <w:rPr>
          <w:b w:val="0"/>
          <w:i w:val="0"/>
          <w:smallCaps w:val="0"/>
          <w:strike w:val="0"/>
          <w:u w:val="none"/>
        </w:rPr>
        <w:t>. The policy challenge is to ensure public access to incorporated material in a manner that acknowledges the intellectual property interests of standards development organizations and that does not unduly impair their ability and incentive to continue to produce such standards.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