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 new rules don’t solve.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Strauss 15</w:t>
      </w:r>
      <w:r>
        <w:rPr>
          <w:b w:val="0"/>
          <w:i w:val="0"/>
          <w:smallCaps w:val="0"/>
          <w:strike w:val="0"/>
          <w:u w:val="none"/>
        </w:rPr>
        <w:t xml:space="preserve"> – Betts Professor of Law at Columbia Law School and is a Senior Fellow of the Administrative Conference of the United States.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Peter Strauss, “We Decline to Define ‘Reasonably Available’,” The Regulatory Review, 01-26-2015, https://www.theregreview.org/2015/01/26/strauss-reasonably-available/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 new rules</w:t>
      </w:r>
      <w:r>
        <w:rPr>
          <w:b w:val="0"/>
          <w:i w:val="0"/>
          <w:smallCaps w:val="0"/>
          <w:strike w:val="0"/>
          <w:u w:val="none"/>
        </w:rPr>
        <w:t xml:space="preserve"> thus </w:t>
      </w:r>
      <w:r>
        <w:rPr>
          <w:b/>
          <w:i w:val="0"/>
          <w:smallCaps w:val="0"/>
          <w:strike w:val="0"/>
          <w:sz w:val="22"/>
          <w:u w:val="single"/>
        </w:rPr>
        <w:t>leave unaddressed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/>
          <w:i w:val="0"/>
          <w:smallCaps w:val="0"/>
          <w:strike w:val="0"/>
          <w:sz w:val="22"/>
          <w:u w:val="single"/>
        </w:rPr>
        <w:t>number of important issues</w:t>
      </w:r>
      <w:r>
        <w:rPr>
          <w:b w:val="0"/>
          <w:i w:val="0"/>
          <w:smallCaps w:val="0"/>
          <w:strike w:val="0"/>
          <w:u w:val="none"/>
        </w:rPr>
        <w:t xml:space="preserve">. Ordinarily, rulemaking proposals must be attended by the public availability for possible comment of supporting data and studies; </w:t>
      </w:r>
      <w:r>
        <w:rPr>
          <w:b w:val="0"/>
          <w:i w:val="0"/>
          <w:smallCaps w:val="0"/>
          <w:strike w:val="0"/>
          <w:sz w:val="22"/>
          <w:u w:val="single"/>
        </w:rPr>
        <w:t>the amendments to</w:t>
      </w:r>
      <w:r>
        <w:rPr>
          <w:b w:val="0"/>
          <w:i w:val="0"/>
          <w:smallCaps w:val="0"/>
          <w:strike w:val="0"/>
          <w:u w:val="none"/>
        </w:rPr>
        <w:t xml:space="preserve"> Part 51 </w:t>
      </w:r>
      <w:r>
        <w:rPr>
          <w:b w:val="0"/>
          <w:i w:val="0"/>
          <w:smallCaps w:val="0"/>
          <w:strike w:val="0"/>
          <w:sz w:val="22"/>
          <w:u w:val="single"/>
        </w:rPr>
        <w:t>do not address the availability to potential commenters of data or studies supporting a standard proposed to be incorporated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The rules continue to permit incorporation by reference to endure without time limit, despite the predictable impacts of time on both availability and relevance</w:t>
      </w:r>
      <w:r>
        <w:rPr>
          <w:b w:val="0"/>
          <w:i w:val="0"/>
          <w:smallCaps w:val="0"/>
          <w:strike w:val="0"/>
          <w:u w:val="none"/>
        </w:rPr>
        <w:t xml:space="preserve">; </w:t>
      </w:r>
      <w:r>
        <w:rPr>
          <w:b w:val="0"/>
          <w:i w:val="0"/>
          <w:smallCaps w:val="0"/>
          <w:strike w:val="0"/>
          <w:sz w:val="22"/>
          <w:u w:val="single"/>
        </w:rPr>
        <w:t>and they pay no attention to the terms and price</w:t>
      </w:r>
      <w:r>
        <w:rPr>
          <w:b w:val="0"/>
          <w:i w:val="0"/>
          <w:smallCaps w:val="0"/>
          <w:strike w:val="0"/>
          <w:u w:val="none"/>
        </w:rPr>
        <w:t xml:space="preserve"> at which the adopting private organizations offer the incorporated standards for sale.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That legal obligations may be</w:t>
      </w:r>
      <w:r>
        <w:rPr>
          <w:b w:val="0"/>
          <w:i w:val="0"/>
          <w:smallCaps w:val="0"/>
          <w:strike w:val="0"/>
          <w:u w:val="none"/>
        </w:rPr>
        <w:t xml:space="preserve"> closely held under copyright, at the price and on such terms as the adopting organization may set, and </w:t>
      </w:r>
      <w:r>
        <w:rPr>
          <w:b w:val="0"/>
          <w:i w:val="0"/>
          <w:smallCaps w:val="0"/>
          <w:strike w:val="0"/>
          <w:sz w:val="22"/>
          <w:u w:val="single"/>
        </w:rPr>
        <w:t>subject only to the possibility of inspecting one of two copies held in Washington, D.C.,</w:t>
      </w:r>
      <w:r>
        <w:rPr>
          <w:b w:val="0"/>
          <w:i w:val="0"/>
          <w:smallCaps w:val="0"/>
          <w:strike w:val="0"/>
          <w:u w:val="none"/>
        </w:rPr>
        <w:t xml:space="preserve"> offends the general principle that law is not subject to copyright and the observation that “secret law” is the weapon of tyrants.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