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market fails without altering sovereign immunity.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Cheng and Lee 18</w:t>
      </w:r>
      <w:r>
        <w:rPr>
          <w:b w:val="0"/>
          <w:i w:val="0"/>
          <w:smallCaps w:val="0"/>
          <w:strike w:val="0"/>
          <w:u w:val="none"/>
        </w:rPr>
        <w:t xml:space="preserve"> – J.D. from Yale Law School (2018).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Cecilia Cheng and Theodore T. Lee, “When Patents are Sovereigns: The Competitive Harms of Leasing Tribal Immunity,” The Yale Law Journal, 03-02-2018, https://www.yalelawjournal.org/forum/when-patents-are-sovereigns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this practice </w:t>
      </w:r>
      <w:r>
        <w:rPr>
          <w:b/>
          <w:i w:val="0"/>
          <w:smallCaps w:val="0"/>
          <w:strike w:val="0"/>
          <w:sz w:val="22"/>
          <w:u w:val="single"/>
        </w:rPr>
        <w:t>becomes commonplace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generic companies may be </w:t>
      </w:r>
      <w:r>
        <w:rPr>
          <w:b/>
          <w:i w:val="0"/>
          <w:smallCaps w:val="0"/>
          <w:strike w:val="0"/>
          <w:sz w:val="22"/>
          <w:u w:val="single"/>
        </w:rPr>
        <w:t>less likely to compete ex ante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because the litigation costs for challenging even weak patents would </w:t>
      </w:r>
      <w:r>
        <w:rPr>
          <w:b/>
          <w:i w:val="0"/>
          <w:smallCaps w:val="0"/>
          <w:strike w:val="0"/>
          <w:sz w:val="22"/>
          <w:u w:val="single"/>
        </w:rPr>
        <w:t>significantly increase</w:t>
      </w:r>
      <w:r>
        <w:rPr>
          <w:b w:val="0"/>
          <w:i w:val="0"/>
          <w:smallCaps w:val="0"/>
          <w:strike w:val="0"/>
          <w:u w:val="none"/>
        </w:rPr>
        <w:t xml:space="preserve">. Even if tribal immunity is only successfully exercised in PTAB proceedings,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generic companies whose expected benefit of challenging the IP falls between the costs of PTAB proceedings and full litigation would no longer have an incentive to dispute the </w:t>
      </w:r>
      <w:r>
        <w:rPr>
          <w:b w:val="0"/>
          <w:i w:val="0"/>
          <w:smallCaps w:val="0"/>
          <w:strike w:val="0"/>
          <w:u w:val="none"/>
        </w:rPr>
        <w:t xml:space="preserve">patents. </w:t>
      </w:r>
      <w:r>
        <w:rPr>
          <w:b w:val="0"/>
          <w:i w:val="0"/>
          <w:smallCaps w:val="0"/>
          <w:strike w:val="0"/>
          <w:sz w:val="22"/>
          <w:u w:val="single"/>
        </w:rPr>
        <w:t>This outcome would undermine</w:t>
      </w:r>
      <w:r>
        <w:rPr>
          <w:b w:val="0"/>
          <w:i w:val="0"/>
          <w:smallCaps w:val="0"/>
          <w:strike w:val="0"/>
          <w:u w:val="none"/>
        </w:rPr>
        <w:t xml:space="preserve"> the specific </w:t>
      </w:r>
      <w:r>
        <w:rPr>
          <w:b w:val="0"/>
          <w:i w:val="0"/>
          <w:smallCaps w:val="0"/>
          <w:strike w:val="0"/>
          <w:sz w:val="22"/>
          <w:u w:val="single"/>
        </w:rPr>
        <w:t>incentives</w:t>
      </w:r>
      <w:r>
        <w:rPr>
          <w:b w:val="0"/>
          <w:i w:val="0"/>
          <w:smallCaps w:val="0"/>
          <w:strike w:val="0"/>
          <w:u w:val="none"/>
        </w:rPr>
        <w:t xml:space="preserve"> that the AIA IPR process is meant to create: a more streamlined, easier way of challenging patents without going through full litigation.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Allergan’s actions—and others that may follow—therefore have the potential to </w:t>
      </w:r>
      <w:r>
        <w:rPr>
          <w:b/>
          <w:i w:val="0"/>
          <w:smallCaps w:val="0"/>
          <w:strike w:val="0"/>
          <w:sz w:val="22"/>
          <w:u w:val="single"/>
        </w:rPr>
        <w:t>harm competition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consumers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significantly reducing the number of patent adjudications.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