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This is true for a variety of leading SDOs.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Tsilas 05</w:t>
      </w:r>
      <w:r>
        <w:rPr>
          <w:b w:val="0"/>
          <w:i w:val="0"/>
          <w:smallCaps w:val="0"/>
          <w:strike w:val="0"/>
          <w:u w:val="none"/>
        </w:rPr>
        <w:t xml:space="preserve"> – Senior Attorney at Microsoft, J.D. from Georgetown University School of Law, M.S. in Engineering Management from the Stevens Institute of Technology.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Nicos Tsilas, “The Threat to Innovation, Interoperability, and Government Procurement Options From Recently Proposed Definitions of “Open Standards”,” International Journal of Communications Law &amp; Policy, https://ciaotest.cc.columbia.edu/olj/ijclp/ijclp_10/ijclp_10h.pdf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This proposed definition is squarely at odds with the approach taken by the </w:t>
      </w:r>
      <w:r>
        <w:rPr>
          <w:b/>
          <w:i w:val="0"/>
          <w:smallCaps w:val="0"/>
          <w:strike w:val="0"/>
          <w:sz w:val="22"/>
          <w:u w:val="single"/>
        </w:rPr>
        <w:t>world’s leading standards development organizations</w:t>
      </w:r>
      <w:r>
        <w:rPr>
          <w:b w:val="0"/>
          <w:i w:val="0"/>
          <w:smallCaps w:val="0"/>
          <w:strike w:val="0"/>
          <w:u w:val="none"/>
        </w:rPr>
        <w:t xml:space="preserve">. For example, contrary to the IDA definition,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intellectual property rights (IPR) policies of </w:t>
      </w:r>
      <w:r>
        <w:rPr>
          <w:b/>
          <w:i w:val="0"/>
          <w:smallCaps w:val="0"/>
          <w:strike w:val="0"/>
          <w:sz w:val="22"/>
          <w:u w:val="single"/>
        </w:rPr>
        <w:t>ETSI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IEEE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IETF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ISO/IEC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ITU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OMA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ANSI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ECMA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other leading standards organizations </w:t>
      </w:r>
      <w:r>
        <w:rPr>
          <w:b/>
          <w:i w:val="0"/>
          <w:smallCaps w:val="0"/>
          <w:strike w:val="0"/>
          <w:sz w:val="22"/>
          <w:u w:val="single"/>
        </w:rPr>
        <w:t>do not mandate royalty-free licensing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prohibit other “constraints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re-use of the standard.”</w:t>
      </w:r>
      <w:r>
        <w:rPr>
          <w:b w:val="0"/>
          <w:i w:val="0"/>
          <w:smallCaps w:val="0"/>
          <w:strike w:val="0"/>
          <w:u w:val="none"/>
        </w:rPr>
        <w:t xml:space="preserve"> Rather,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these organizations have policies that seek </w:t>
      </w:r>
      <w:r>
        <w:rPr>
          <w:b/>
          <w:i w:val="0"/>
          <w:smallCaps w:val="0"/>
          <w:strike w:val="0"/>
          <w:sz w:val="22"/>
          <w:u w:val="single"/>
        </w:rPr>
        <w:t>reasonable</w:t>
      </w:r>
      <w:r>
        <w:rPr>
          <w:b w:val="0"/>
          <w:i w:val="0"/>
          <w:smallCaps w:val="0"/>
          <w:strike w:val="0"/>
          <w:u w:val="none"/>
        </w:rPr>
        <w:t xml:space="preserve"> and non-discriminatory (RAND) </w:t>
      </w:r>
      <w:r>
        <w:rPr>
          <w:b w:val="0"/>
          <w:i w:val="0"/>
          <w:smallCaps w:val="0"/>
          <w:strike w:val="0"/>
          <w:sz w:val="22"/>
          <w:u w:val="single"/>
        </w:rPr>
        <w:t>licensing commitments</w:t>
      </w:r>
      <w:r>
        <w:rPr>
          <w:b w:val="0"/>
          <w:i w:val="0"/>
          <w:smallCaps w:val="0"/>
          <w:strike w:val="0"/>
          <w:u w:val="none"/>
        </w:rPr>
        <w:t>, including the possibility of charging a reasonable royalty, as a basis for standards-related IP licensing for participants in the organization’s standards activities.5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