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And they’re expanding access.</w:t>
      </w:r>
    </w:p>
    <w:p>
      <w:pPr>
        <w:spacing w:after="80"/>
      </w:pPr>
      <w:r>
        <w:rPr>
          <w:b/>
          <w:i w:val="0"/>
          <w:smallCaps w:val="0"/>
          <w:strike w:val="0"/>
          <w:sz w:val="26"/>
          <w:u w:val="none"/>
        </w:rPr>
        <w:t>Tsilas 05</w:t>
      </w:r>
      <w:r>
        <w:rPr>
          <w:b w:val="0"/>
          <w:i w:val="0"/>
          <w:smallCaps w:val="0"/>
          <w:strike w:val="0"/>
          <w:u w:val="none"/>
        </w:rPr>
        <w:t xml:space="preserve"> – Senior Attorney at Microsoft, J.D. from Georgetown University School of Law, M.S. in Engineering Management from the Stevens Institute of Technology.</w:t>
      </w:r>
    </w:p>
    <w:p>
      <w:pPr>
        <w:spacing w:after="60"/>
      </w:pPr>
      <w:r>
        <w:rPr>
          <w:b w:val="0"/>
          <w:i w:val="0"/>
          <w:smallCaps w:val="0"/>
          <w:strike w:val="0"/>
          <w:u w:val="none"/>
        </w:rPr>
        <w:t>Nicos Tsilas, “The Threat to Innovation, Interoperability, and Government Procurement Options From Recently Proposed Definitions of “Open Standards”,” International Journal of Communications Law &amp; Policy, https://ciaotest.cc.columbia.edu/olj/ijclp/ijclp_10/ijclp_10h.pdf</w:t>
      </w:r>
    </w:p>
    <w:p>
      <w:pPr>
        <w:spacing w:after="60"/>
      </w:pPr>
      <w:r>
        <w:rPr>
          <w:b w:val="0"/>
          <w:i w:val="0"/>
          <w:smallCaps w:val="0"/>
          <w:strike w:val="0"/>
          <w:u w:val="none"/>
        </w:rPr>
        <w:t xml:space="preserve">Likewise, </w:t>
      </w:r>
      <w:r>
        <w:rPr>
          <w:b w:val="0"/>
          <w:i w:val="0"/>
          <w:smallCaps w:val="0"/>
          <w:strike w:val="0"/>
          <w:sz w:val="22"/>
          <w:u w:val="single"/>
        </w:rPr>
        <w:t>several of the world’s leading standards organizations</w:t>
      </w:r>
      <w:r>
        <w:rPr>
          <w:b w:val="0"/>
          <w:i w:val="0"/>
          <w:smallCaps w:val="0"/>
          <w:strike w:val="0"/>
          <w:u w:val="none"/>
        </w:rPr>
        <w:t xml:space="preserve">, acting as part of the “Global Standards Collaboration”7 recently </w:t>
      </w:r>
      <w:r>
        <w:rPr>
          <w:b w:val="0"/>
          <w:i w:val="0"/>
          <w:smallCaps w:val="0"/>
          <w:strike w:val="0"/>
          <w:sz w:val="22"/>
          <w:u w:val="single"/>
        </w:rPr>
        <w:t>resolved to</w:t>
      </w:r>
      <w:r>
        <w:rPr>
          <w:b w:val="0"/>
          <w:i w:val="0"/>
          <w:smallCaps w:val="0"/>
          <w:strike w:val="0"/>
          <w:u w:val="none"/>
        </w:rPr>
        <w:t xml:space="preserve"> (1) “</w:t>
      </w:r>
      <w:r>
        <w:rPr>
          <w:b/>
          <w:i w:val="0"/>
          <w:smallCaps w:val="0"/>
          <w:strike w:val="0"/>
          <w:sz w:val="22"/>
          <w:u w:val="single"/>
        </w:rPr>
        <w:t>strongly support the adoption</w:t>
      </w:r>
      <w:r>
        <w:rPr>
          <w:b w:val="0"/>
          <w:i w:val="0"/>
          <w:smallCaps w:val="0"/>
          <w:strike w:val="0"/>
          <w:sz w:val="22"/>
          <w:u w:val="single"/>
        </w:rPr>
        <w:t xml:space="preserve"> of </w:t>
      </w:r>
      <w:r>
        <w:rPr>
          <w:b/>
          <w:i w:val="0"/>
          <w:smallCaps w:val="0"/>
          <w:strike w:val="0"/>
          <w:sz w:val="22"/>
          <w:u w:val="single"/>
        </w:rPr>
        <w:t>effective intellectual property rights</w:t>
      </w:r>
      <w:r>
        <w:rPr>
          <w:b w:val="0"/>
          <w:i w:val="0"/>
          <w:smallCaps w:val="0"/>
          <w:strike w:val="0"/>
          <w:sz w:val="22"/>
          <w:u w:val="single"/>
        </w:rPr>
        <w:t xml:space="preserve"> that are </w:t>
      </w:r>
      <w:r>
        <w:rPr>
          <w:b/>
          <w:i w:val="0"/>
          <w:smallCaps w:val="0"/>
          <w:strike w:val="0"/>
          <w:sz w:val="22"/>
          <w:u w:val="single"/>
        </w:rPr>
        <w:t>transparent</w:t>
      </w:r>
      <w:r>
        <w:rPr>
          <w:b w:val="0"/>
          <w:i w:val="0"/>
          <w:smallCaps w:val="0"/>
          <w:strike w:val="0"/>
          <w:u w:val="none"/>
        </w:rPr>
        <w:t xml:space="preserve">, </w:t>
      </w:r>
      <w:r>
        <w:rPr>
          <w:b/>
          <w:i w:val="0"/>
          <w:smallCaps w:val="0"/>
          <w:strike w:val="0"/>
          <w:sz w:val="22"/>
          <w:u w:val="single"/>
        </w:rPr>
        <w:t>widely accepted</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encourage broad-based participation</w:t>
      </w:r>
      <w:r>
        <w:rPr>
          <w:b w:val="0"/>
          <w:i w:val="0"/>
          <w:smallCaps w:val="0"/>
          <w:strike w:val="0"/>
          <w:u w:val="none"/>
        </w:rPr>
        <w:t xml:space="preserve"> and the contribution of valuable technical solutions by respecting intellectual property rights, including the right of the intellectual property holder to receive reasonable and adequate compensation for the shared use of its technology;” (2) “</w:t>
      </w:r>
      <w:r>
        <w:rPr>
          <w:b/>
          <w:i w:val="0"/>
          <w:smallCaps w:val="0"/>
          <w:strike w:val="0"/>
          <w:sz w:val="22"/>
          <w:u w:val="single"/>
        </w:rPr>
        <w:t xml:space="preserve">strongly support </w:t>
      </w:r>
      <w:r>
        <w:rPr>
          <w:b w:val="0"/>
          <w:i w:val="0"/>
          <w:smallCaps w:val="0"/>
          <w:strike w:val="0"/>
          <w:u w:val="none"/>
        </w:rPr>
        <w:t>definitions of ‘</w:t>
      </w:r>
      <w:r>
        <w:rPr>
          <w:b/>
          <w:i w:val="0"/>
          <w:smallCaps w:val="0"/>
          <w:strike w:val="0"/>
          <w:sz w:val="22"/>
          <w:u w:val="single"/>
        </w:rPr>
        <w:t>open standards’</w:t>
      </w:r>
      <w:r>
        <w:rPr>
          <w:b w:val="0"/>
          <w:i w:val="0"/>
          <w:smallCaps w:val="0"/>
          <w:strike w:val="0"/>
          <w:u w:val="none"/>
        </w:rPr>
        <w:t xml:space="preserve"> </w:t>
      </w:r>
      <w:r>
        <w:rPr>
          <w:b w:val="0"/>
          <w:i w:val="0"/>
          <w:smallCaps w:val="0"/>
          <w:strike w:val="0"/>
          <w:sz w:val="22"/>
          <w:u w:val="single"/>
        </w:rPr>
        <w:t>that reflect the following characteristics: such standards are</w:t>
      </w:r>
      <w:r>
        <w:rPr>
          <w:b w:val="0"/>
          <w:i w:val="0"/>
          <w:smallCaps w:val="0"/>
          <w:strike w:val="0"/>
          <w:u w:val="none"/>
        </w:rPr>
        <w:t xml:space="preserve"> (i) </w:t>
      </w:r>
      <w:r>
        <w:rPr>
          <w:b/>
          <w:i w:val="0"/>
          <w:smallCaps w:val="0"/>
          <w:strike w:val="0"/>
          <w:sz w:val="22"/>
          <w:u w:val="single"/>
        </w:rPr>
        <w:t>made available to the general public</w:t>
      </w:r>
      <w:r>
        <w:rPr>
          <w:b w:val="0"/>
          <w:i w:val="0"/>
          <w:smallCaps w:val="0"/>
          <w:strike w:val="0"/>
          <w:u w:val="none"/>
        </w:rPr>
        <w:t xml:space="preserve">, (ii) developed (or approved) </w:t>
      </w:r>
      <w:r>
        <w:rPr>
          <w:b w:val="0"/>
          <w:i w:val="0"/>
          <w:smallCaps w:val="0"/>
          <w:strike w:val="0"/>
          <w:sz w:val="22"/>
          <w:u w:val="single"/>
        </w:rPr>
        <w:t xml:space="preserve">and maintained via a </w:t>
      </w:r>
      <w:r>
        <w:rPr>
          <w:b/>
          <w:i w:val="0"/>
          <w:smallCaps w:val="0"/>
          <w:strike w:val="0"/>
          <w:sz w:val="22"/>
          <w:u w:val="single"/>
        </w:rPr>
        <w:t>collaborative</w:t>
      </w:r>
      <w:r>
        <w:rPr>
          <w:b w:val="0"/>
          <w:i w:val="0"/>
          <w:smallCaps w:val="0"/>
          <w:strike w:val="0"/>
          <w:sz w:val="22"/>
          <w:u w:val="single"/>
        </w:rPr>
        <w:t xml:space="preserve"> and </w:t>
      </w:r>
      <w:r>
        <w:rPr>
          <w:b/>
          <w:i w:val="0"/>
          <w:smallCaps w:val="0"/>
          <w:strike w:val="0"/>
          <w:sz w:val="22"/>
          <w:u w:val="single"/>
        </w:rPr>
        <w:t>consensus driven process</w:t>
      </w:r>
      <w:r>
        <w:rPr>
          <w:b w:val="0"/>
          <w:i w:val="0"/>
          <w:smallCaps w:val="0"/>
          <w:strike w:val="0"/>
          <w:u w:val="none"/>
        </w:rPr>
        <w:t>, and (iii) subject to a RAND/FRAND intellectual property rights policy,” and (3) “strongly voice their opposition to policies that mandate compensation-free licensing provisions.”8</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