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Standards can be accessed on the internet or in reading rooms.</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It should be noted that a couple of </w:t>
      </w:r>
      <w:r>
        <w:rPr>
          <w:b w:val="0"/>
          <w:i w:val="0"/>
          <w:smallCaps w:val="0"/>
          <w:strike w:val="0"/>
          <w:sz w:val="22"/>
          <w:u w:val="single"/>
        </w:rPr>
        <w:t xml:space="preserve">SDOs have recently decided to provide </w:t>
      </w:r>
      <w:r>
        <w:rPr>
          <w:b/>
          <w:i w:val="0"/>
          <w:smallCaps w:val="0"/>
          <w:strike w:val="0"/>
          <w:sz w:val="22"/>
          <w:u w:val="single"/>
        </w:rPr>
        <w:t>free read-only access</w:t>
      </w:r>
      <w:r>
        <w:rPr>
          <w:b w:val="0"/>
          <w:i w:val="0"/>
          <w:smallCaps w:val="0"/>
          <w:strike w:val="0"/>
          <w:u w:val="none"/>
        </w:rPr>
        <w:t xml:space="preserve"> </w:t>
      </w:r>
      <w:r>
        <w:rPr>
          <w:b w:val="0"/>
          <w:i w:val="0"/>
          <w:smallCaps w:val="0"/>
          <w:strike w:val="0"/>
          <w:sz w:val="22"/>
          <w:u w:val="single"/>
        </w:rPr>
        <w:t>on their websites for some IBR standards</w:t>
      </w:r>
      <w:r>
        <w:rPr>
          <w:b w:val="0"/>
          <w:i w:val="0"/>
          <w:smallCaps w:val="0"/>
          <w:strike w:val="0"/>
          <w:u w:val="none"/>
        </w:rPr>
        <w:t xml:space="preserve">. </w:t>
      </w:r>
      <w:r>
        <w:rPr>
          <w:b w:val="0"/>
          <w:i w:val="0"/>
          <w:smallCaps w:val="0"/>
          <w:strike w:val="0"/>
          <w:sz w:val="22"/>
          <w:u w:val="single"/>
        </w:rPr>
        <w:t xml:space="preserve">This is </w:t>
      </w:r>
      <w:r>
        <w:rPr>
          <w:b/>
          <w:i w:val="0"/>
          <w:smallCaps w:val="0"/>
          <w:strike w:val="0"/>
          <w:sz w:val="22"/>
          <w:u w:val="single"/>
        </w:rPr>
        <w:t>certainly a positive development</w:t>
      </w:r>
      <w:r>
        <w:rPr>
          <w:b w:val="0"/>
          <w:i w:val="0"/>
          <w:smallCaps w:val="0"/>
          <w:strike w:val="0"/>
          <w:u w:val="none"/>
        </w:rPr>
        <w:t>, although the “reading rooms” are not easy to locate and the home pages of the websites do not advertise their existence.83 Even these SDOs, however, continue to claim a copyright and the entitlement to revoke free access at any time.84 A reader must also waive any challenges to the copyright as a condition of getting to see the document.85 Needless to say, the revenue-maximizing choice for SDOs—particularly for a standard that is not simply voluntary but is incorporated into binding federal law—may well not be to charge the cheapest price.86 No law or agency action appears generally aimed at restricting the prices SDOs charge for IBR standards.87</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