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Precedent goes aff.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Fortis 24</w:t>
      </w:r>
      <w:r>
        <w:rPr>
          <w:b w:val="0"/>
          <w:i w:val="0"/>
          <w:smallCaps w:val="0"/>
          <w:strike w:val="0"/>
          <w:u w:val="none"/>
        </w:rPr>
        <w:t xml:space="preserve"> – Technology Journalist at Coin Telegraph.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Savannah Fortis, “Legal experts weigh in on landmark NYT vs. OpenAI and Microsoft lawsuit,” Coin Telegraph, 01-15-2024, https://cointelegraph.com/news/legal-experts-landmark-nyt-vs-openai-microsoft-lawsuit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Sterba notes that OpenAI is advocating for a broad interpretation of the “fair use” defense, a position not entirely supported by existing laws</w:t>
      </w:r>
      <w:r>
        <w:rPr>
          <w:b w:val="0"/>
          <w:i w:val="0"/>
          <w:smallCaps w:val="0"/>
          <w:strike w:val="0"/>
          <w:u w:val="none"/>
        </w:rPr>
        <w:t xml:space="preserve"> but deemed necessary for the advancement of generative AI.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