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There’s no clarity whatsoever.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Smith 24</w:t>
      </w:r>
      <w:r>
        <w:rPr>
          <w:b w:val="0"/>
          <w:i w:val="0"/>
          <w:smallCaps w:val="0"/>
          <w:strike w:val="0"/>
          <w:u w:val="none"/>
        </w:rPr>
        <w:t xml:space="preserve"> – Technology Journalist at IEEE Spectrum.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Matthew Smith, “The New York Times Wants ChatGPT Gone. Nice Try Copyright murkiness is about the only sure thing that lies ahead,” IEEE Spectrum, 01-06-2024, https://spectrum.ieee.org/chatgpt-new-york-times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Prepare for years of copyright confusion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lack of clarity on where the rights of copyright holders end, and those of companies creating generative AI begin, makes it </w:t>
      </w:r>
      <w:r>
        <w:rPr>
          <w:b/>
          <w:i w:val="0"/>
          <w:smallCaps w:val="0"/>
          <w:strike w:val="0"/>
          <w:sz w:val="22"/>
          <w:u w:val="single"/>
        </w:rPr>
        <w:t>impossible to know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precisely where the law will settle.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That’s not going to change overnight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Authors Guild, Inc. vs. Google, Inc. took a </w:t>
      </w:r>
      <w:r>
        <w:rPr>
          <w:b/>
          <w:i w:val="0"/>
          <w:smallCaps w:val="0"/>
          <w:strike w:val="0"/>
          <w:sz w:val="22"/>
          <w:u w:val="single"/>
        </w:rPr>
        <w:t>decade to resolve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