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Doesn’t crush AI.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Lanquist and Ray 24</w:t>
      </w:r>
      <w:r>
        <w:rPr>
          <w:b w:val="0"/>
          <w:i w:val="0"/>
          <w:smallCaps w:val="0"/>
          <w:strike w:val="0"/>
          <w:u w:val="none"/>
        </w:rPr>
        <w:t xml:space="preserve"> – Intellectual Property Attorneys at Baker Donelson.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Edward Lanquist and Jeremy Ray, “Artificial Intelligence and Copyright Law: The NYT v. OpenAI – Fair Use Implications of Generative AI,” Baker Donelson, 02-05-2024, https://www.bakerdonelson.com/artificial-intelligence-and-copyright-law-the-nyt-v-openai-fair-use-implications-of-generative-ai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While we expect significant clarity from courts over the coming year concerning the application of fair use to generative AI</w:t>
      </w:r>
      <w:r>
        <w:rPr>
          <w:b/>
          <w:i w:val="0"/>
          <w:smallCaps w:val="0"/>
          <w:strike w:val="0"/>
          <w:sz w:val="22"/>
          <w:u w:val="single"/>
        </w:rPr>
        <w:t>, at the end of the day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well-funded industry leaders such as OpenAI will likely win </w:t>
      </w:r>
      <w:r>
        <w:rPr>
          <w:b/>
          <w:i w:val="0"/>
          <w:smallCaps w:val="0"/>
          <w:strike w:val="0"/>
          <w:sz w:val="22"/>
          <w:u w:val="single"/>
        </w:rPr>
        <w:t>regardless of the outcome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 the one hand, should OpenAI prevail across the board, it </w:t>
      </w:r>
      <w:r>
        <w:rPr>
          <w:b/>
          <w:i w:val="0"/>
          <w:smallCaps w:val="0"/>
          <w:strike w:val="0"/>
          <w:sz w:val="22"/>
          <w:u w:val="single"/>
        </w:rPr>
        <w:t>will owe nothing for the content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used to train its LLM. On the other hand, if OpenAI is forced to license the content used to train its LLM, then such a finding will likely </w:t>
      </w:r>
      <w:r>
        <w:rPr>
          <w:b/>
          <w:i w:val="0"/>
          <w:smallCaps w:val="0"/>
          <w:strike w:val="0"/>
          <w:sz w:val="22"/>
          <w:u w:val="single"/>
        </w:rPr>
        <w:t>create an economy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where only the </w:t>
      </w:r>
      <w:r>
        <w:rPr>
          <w:b/>
          <w:i w:val="0"/>
          <w:smallCaps w:val="0"/>
          <w:strike w:val="0"/>
          <w:sz w:val="22"/>
          <w:u w:val="single"/>
        </w:rPr>
        <w:t>most well-funded 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be able to afford the licenses necessary to effectively train their LLMs.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