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Worst case scenario is that big companies still keep innovating.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Smith 24</w:t>
      </w:r>
      <w:r>
        <w:rPr>
          <w:b w:val="0"/>
          <w:i w:val="0"/>
          <w:smallCaps w:val="0"/>
          <w:strike w:val="0"/>
          <w:u w:val="none"/>
        </w:rPr>
        <w:t xml:space="preserve"> – Technology Journalist at IEEE Spectrum.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Matthew Smith, “The New York Times Wants ChatGPT Gone. Nice Try Copyright murkiness is about the only sure thing that lies ahead,” IEEE Spectrum, 01-06-2024, https://spectrum.ieee.org/chatgpt-new-york-times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Whenever it’s resolved, the impact of The New York Times’s suit will be significant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Its failure would allow those looking to train new AI models to proceed as they have in the past with </w:t>
      </w:r>
      <w:r>
        <w:rPr>
          <w:b/>
          <w:i w:val="0"/>
          <w:smallCaps w:val="0"/>
          <w:strike w:val="0"/>
          <w:sz w:val="22"/>
          <w:u w:val="single"/>
        </w:rPr>
        <w:t>far less concern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about </w:t>
      </w:r>
      <w:r>
        <w:rPr>
          <w:b/>
          <w:i w:val="0"/>
          <w:smallCaps w:val="0"/>
          <w:strike w:val="0"/>
          <w:sz w:val="22"/>
          <w:u w:val="single"/>
        </w:rPr>
        <w:t>future lawsuits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Success </w:t>
      </w:r>
      <w:r>
        <w:rPr>
          <w:b/>
          <w:i w:val="0"/>
          <w:smallCaps w:val="0"/>
          <w:strike w:val="0"/>
          <w:sz w:val="22"/>
          <w:u w:val="single"/>
        </w:rPr>
        <w:t>wouldn’t entirely halt the training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new AI models, but licensing costs may increase the cost of training beyond the means of all but the </w:t>
      </w:r>
      <w:r>
        <w:rPr>
          <w:b/>
          <w:i w:val="0"/>
          <w:smallCaps w:val="0"/>
          <w:strike w:val="0"/>
          <w:sz w:val="22"/>
          <w:u w:val="single"/>
        </w:rPr>
        <w:t>most well-funded companies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