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University ownership </w:t>
      </w:r>
      <w:r>
        <w:rPr>
          <w:b/>
          <w:i w:val="0"/>
          <w:smallCaps w:val="0"/>
          <w:strike w:val="0"/>
          <w:sz w:val="26"/>
          <w:u w:val="none"/>
        </w:rPr>
        <w:t>shifts power to TTOs and crowds out inventor patent activity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Kalantaridis</w:t>
      </w:r>
      <w:r>
        <w:rPr>
          <w:b/>
          <w:i w:val="0"/>
          <w:smallCaps w:val="0"/>
          <w:strike w:val="0"/>
          <w:sz w:val="26"/>
          <w:u w:val="none"/>
        </w:rPr>
        <w:t xml:space="preserve"> and Küttim</w:t>
      </w:r>
      <w:r>
        <w:rPr>
          <w:b w:val="0"/>
          <w:i w:val="0"/>
          <w:smallCaps w:val="0"/>
          <w:strike w:val="0"/>
          <w:sz w:val="26"/>
          <w:u w:val="none"/>
        </w:rPr>
        <w:t xml:space="preserve">, Head of College Westminster Business School, </w:t>
      </w:r>
      <w:r>
        <w:rPr>
          <w:b/>
          <w:i w:val="0"/>
          <w:smallCaps w:val="0"/>
          <w:strike w:val="0"/>
          <w:sz w:val="26"/>
          <w:u w:val="none"/>
        </w:rPr>
        <w:t>20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[Christos and Merle, “University ownership and information about the entrepreneurial opportunity in </w:t>
      </w:r>
      <w:r>
        <w:rPr>
          <w:b w:val="0"/>
          <w:i w:val="0"/>
          <w:smallCaps w:val="0"/>
          <w:strike w:val="0"/>
          <w:u w:val="none"/>
        </w:rPr>
        <w:t>commercialisation</w:t>
      </w:r>
      <w:r>
        <w:rPr>
          <w:b w:val="0"/>
          <w:i w:val="0"/>
          <w:smallCaps w:val="0"/>
          <w:strike w:val="0"/>
          <w:u w:val="none"/>
        </w:rPr>
        <w:t>: a systematic review and realist synthesis of the literature,” The Journal of Technology Transfer volume 46, 01/04/2020, p. 1487–1513, Springer, accessed 07/17/2024, BKM GDI]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a suggestive contribution to the debate </w:t>
      </w:r>
      <w:r>
        <w:rPr>
          <w:b w:val="0"/>
          <w:i w:val="0"/>
          <w:smallCaps w:val="0"/>
          <w:strike w:val="0"/>
          <w:sz w:val="22"/>
          <w:u w:val="single"/>
        </w:rPr>
        <w:t>Halilem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et  al.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(2017) adopt a more subtle approach to property rights regimes differentiating between ownership rights, control rights, and income-sharing rights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Their empirical findings support this disaggregation as they show that contrary to the bulk of the literature, the </w:t>
      </w:r>
      <w:r>
        <w:rPr>
          <w:b w:val="0"/>
          <w:i w:val="0"/>
          <w:smallCaps w:val="0"/>
          <w:strike w:val="0"/>
          <w:sz w:val="22"/>
          <w:u w:val="single"/>
        </w:rPr>
        <w:t>behaviour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academics is influenced not by ownership rights but by control rights, and the sharing of income with the university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These findings have potentially significant implications for the importance of ownership as a means of encouraging academics to disclose new technical information coming from publicly funded research. This, in turn, </w:t>
      </w:r>
      <w:r>
        <w:rPr>
          <w:b w:val="0"/>
          <w:i w:val="0"/>
          <w:smallCaps w:val="0"/>
          <w:strike w:val="0"/>
          <w:sz w:val="16"/>
          <w:u w:val="none"/>
        </w:rPr>
        <w:t>opens up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scope for the use of Ostrom’s (2010) distinction of bundle of property rights (differentiating between access, withdrawal, management, exclusion, and alienation) in the study of university </w:t>
      </w:r>
      <w:r>
        <w:rPr>
          <w:b w:val="0"/>
          <w:i w:val="0"/>
          <w:smallCaps w:val="0"/>
          <w:strike w:val="0"/>
          <w:sz w:val="16"/>
          <w:u w:val="none"/>
        </w:rPr>
        <w:t>commercialisation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There is, however, a relatively modest amount of research exploring directly the effects of the prevailing property rights regime on the information conditions around the entrepreneurial opportunity in </w:t>
      </w:r>
      <w:r>
        <w:rPr>
          <w:b w:val="0"/>
          <w:i w:val="0"/>
          <w:smallCaps w:val="0"/>
          <w:strike w:val="0"/>
          <w:sz w:val="22"/>
          <w:u w:val="single"/>
        </w:rPr>
        <w:t>commercialisation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This research often compares information conditions under university ownership with those under inventor ownership. These studies show that the prevailing regime strengthens the rights of TTOs, affording them a dominant position in decision-making in comparison to the two other types of actors (the academics and the firms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). Specifically, Valentin and Jensen (2007) show that </w:t>
      </w:r>
      <w:r>
        <w:rPr>
          <w:b w:val="0"/>
          <w:i w:val="0"/>
          <w:smallCaps w:val="0"/>
          <w:strike w:val="0"/>
          <w:sz w:val="22"/>
          <w:u w:val="single"/>
        </w:rPr>
        <w:t>following the introduction of university ownership (replacing inventor ownership in 2000) in Denmark, there has been a steep decrease in the number of academics involved in patents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owned by dedicated biotechnology firms (where uncertainty is a key consideration). Damsgaard and Thursby (2013),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comparing university ownership in the United States with inventor ownership in Sweden illustrate that if there are search costs in finding an established firm for licensing the average probability of </w:t>
      </w:r>
      <w:r>
        <w:rPr>
          <w:b w:val="0"/>
          <w:i w:val="0"/>
          <w:smallCaps w:val="0"/>
          <w:strike w:val="0"/>
          <w:sz w:val="22"/>
          <w:u w:val="single"/>
        </w:rPr>
        <w:t>commercialisation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success is instead higher in the latter regime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They content that this may be linked to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centrality of the TTO in making the decision as to whether and how to </w:t>
      </w:r>
      <w:r>
        <w:rPr>
          <w:b w:val="0"/>
          <w:i w:val="0"/>
          <w:smallCaps w:val="0"/>
          <w:strike w:val="0"/>
          <w:sz w:val="22"/>
          <w:u w:val="single"/>
        </w:rPr>
        <w:t>commercialise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US in comparison to the academic in Sweden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These findings support the conclusions of the theoretical constructs discussed earlier in the paper: </w:t>
      </w:r>
      <w:r>
        <w:rPr>
          <w:b w:val="0"/>
          <w:i w:val="0"/>
          <w:smallCaps w:val="0"/>
          <w:strike w:val="0"/>
          <w:sz w:val="22"/>
          <w:u w:val="single"/>
        </w:rPr>
        <w:t>that argue that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emergence of intermediaries (TTOs) will result in academics leaving </w:t>
      </w:r>
      <w:r>
        <w:rPr>
          <w:b w:val="0"/>
          <w:i w:val="0"/>
          <w:smallCaps w:val="0"/>
          <w:strike w:val="0"/>
          <w:sz w:val="22"/>
          <w:u w:val="single"/>
        </w:rPr>
        <w:t>commercialisation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hands of the TTOs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 remaining focused on their research and teaching duties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(Hoppe and </w:t>
      </w:r>
      <w:r>
        <w:rPr>
          <w:b w:val="0"/>
          <w:i w:val="0"/>
          <w:smallCaps w:val="0"/>
          <w:strike w:val="0"/>
          <w:sz w:val="16"/>
          <w:u w:val="none"/>
        </w:rPr>
        <w:t>Ozdenoren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2005; Hellmann 2005).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