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Institute of Sustainability Studies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 24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u w:val="none"/>
        </w:rPr>
        <w:t>[Institute of Sustainability Studies, Lexicon: “Exploring green technologies: Innovations, opportunities, and real-world challenges,” 01-29-24, https://instituteofsustainabilitystudies.com/insights/lexicon/green-technologies-innovations-opportunities-challenges/, 7-18-24, GDI – Tom Huynh]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none"/>
        </w:rPr>
        <w:t xml:space="preserve">The opportunities presented by green technologies are vast. </w:t>
      </w:r>
      <w:r>
        <w:rPr>
          <w:b w:val="0"/>
          <w:i w:val="0"/>
          <w:smallCaps w:val="0"/>
          <w:strike w:val="0"/>
          <w:color w:val="000000"/>
          <w:u w:val="single"/>
        </w:rPr>
        <w:t>Economically, they open new markets and create jobs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as highlighted by </w:t>
      </w:r>
      <w:r>
        <w:rPr>
          <w:b w:val="0"/>
          <w:i w:val="0"/>
          <w:smallCaps w:val="0"/>
          <w:strike w:val="0"/>
          <w:color w:val="000000"/>
          <w:u w:val="none"/>
        </w:rPr>
        <w:t>Apptension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. </w:t>
      </w:r>
      <w:r>
        <w:rPr>
          <w:b w:val="0"/>
          <w:i w:val="0"/>
          <w:smallCaps w:val="0"/>
          <w:strike w:val="0"/>
          <w:color w:val="000000"/>
          <w:u w:val="single"/>
        </w:rPr>
        <w:t>These technologies also foster business innovation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enabling companies to develop new products and services that meet growing consumer demand for sustainability. </w:t>
      </w:r>
      <w:r>
        <w:rPr>
          <w:b w:val="0"/>
          <w:i w:val="0"/>
          <w:smallCaps w:val="0"/>
          <w:strike w:val="0"/>
          <w:sz w:val="22"/>
          <w:u w:val="single"/>
        </w:rPr>
        <w:t>Environmentally, green technologies significantly reduce carbon emissions and resource consumption, contributing to the fight against climate change and environmental degradation. Socially, they improve the quality of life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by providing access to cleaner air and water. Additionally, they offer a path to achieving global sustainability goals at the national level. </w:t>
      </w:r>
      <w:r>
        <w:rPr>
          <w:b w:val="0"/>
          <w:i w:val="0"/>
          <w:smallCaps w:val="0"/>
          <w:strike w:val="0"/>
          <w:color w:val="000000"/>
          <w:u w:val="single"/>
        </w:rPr>
        <w:t>These opportunities can bring economic growth and serve as a step towards a more sustainable and equitable world.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