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Green tech innovation key to climate adaptation efforts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>Hötte</w:t>
      </w:r>
      <w:r>
        <w:rPr>
          <w:b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Postdoctoral Researcher on Technological and Economic change at the University of Oxford, </w:t>
      </w:r>
      <w:r>
        <w:rPr>
          <w:b w:val="0"/>
          <w:i w:val="0"/>
          <w:smallCaps w:val="0"/>
          <w:strike w:val="0"/>
          <w:u w:val="none"/>
        </w:rPr>
        <w:t xml:space="preserve">and </w:t>
      </w:r>
      <w:r>
        <w:rPr>
          <w:b/>
          <w:i w:val="0"/>
          <w:smallCaps w:val="0"/>
          <w:strike w:val="0"/>
          <w:u w:val="none"/>
        </w:rPr>
        <w:t>Jee</w:t>
      </w:r>
      <w:r>
        <w:rPr>
          <w:b w:val="0"/>
          <w:i w:val="0"/>
          <w:smallCaps w:val="0"/>
          <w:strike w:val="0"/>
          <w:u w:val="none"/>
        </w:rPr>
        <w:t>, Lecturer in Business Analytics and Technology Management at the Bradford School of Management,</w:t>
      </w:r>
      <w:r>
        <w:rPr>
          <w:b/>
          <w:i w:val="0"/>
          <w:smallCaps w:val="0"/>
          <w:strike w:val="0"/>
          <w:u w:val="none"/>
        </w:rPr>
        <w:t xml:space="preserve"> ‘22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[Kerstin and Su Jung, “Knowledge for a warmer world: A patent analysis of climate change adaptation technologies”, Technological Forecasting and Social Change Volume 183, October 2022, Elsevier, 7/18/2024 GDI ACN] 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Climate change poses an existential threat</w:t>
      </w:r>
      <w:r>
        <w:rPr>
          <w:b w:val="0"/>
          <w:i w:val="0"/>
          <w:smallCaps w:val="0"/>
          <w:strike w:val="0"/>
          <w:u w:val="none"/>
        </w:rPr>
        <w:t xml:space="preserve"> to human livelihoods (</w:t>
      </w:r>
      <w:r>
        <w:rPr>
          <w:b w:val="0"/>
          <w:i w:val="0"/>
          <w:smallCaps w:val="0"/>
          <w:strike w:val="0"/>
          <w:u w:val="none"/>
        </w:rPr>
        <w:t>Bellprat</w:t>
      </w:r>
      <w:r>
        <w:rPr>
          <w:b w:val="0"/>
          <w:i w:val="0"/>
          <w:smallCaps w:val="0"/>
          <w:strike w:val="0"/>
          <w:u w:val="none"/>
        </w:rPr>
        <w:t xml:space="preserve"> et al., 2019, </w:t>
      </w:r>
      <w:r>
        <w:rPr>
          <w:b w:val="0"/>
          <w:i w:val="0"/>
          <w:smallCaps w:val="0"/>
          <w:strike w:val="0"/>
          <w:u w:val="none"/>
        </w:rPr>
        <w:t xml:space="preserve">Ornes, 2018). Recent extreme weather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events have demonstrated the immediate need for significant adaptations driven by technological innovation to help communities adjust to these new climatic conditions </w:t>
      </w: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IPCC, 2018). For instance, </w:t>
      </w:r>
      <w:r>
        <w:rPr>
          <w:b w:val="0"/>
          <w:i w:val="0"/>
          <w:smallCaps w:val="0"/>
          <w:strike w:val="0"/>
          <w:sz w:val="22"/>
          <w:u w:val="single"/>
        </w:rPr>
        <w:t>technological innovation plays an important role in addressing this challenge</w:t>
      </w:r>
      <w:r>
        <w:rPr>
          <w:b w:val="0"/>
          <w:i w:val="0"/>
          <w:smallCaps w:val="0"/>
          <w:strike w:val="0"/>
          <w:u w:val="none"/>
        </w:rPr>
        <w:t xml:space="preserve"> (</w:t>
      </w:r>
      <w:r>
        <w:rPr>
          <w:b w:val="0"/>
          <w:i w:val="0"/>
          <w:smallCaps w:val="0"/>
          <w:strike w:val="0"/>
          <w:u w:val="none"/>
        </w:rPr>
        <w:t xml:space="preserve">Ferreira et al., 2020, </w:t>
      </w:r>
      <w:r>
        <w:rPr>
          <w:b w:val="0"/>
          <w:i w:val="0"/>
          <w:smallCaps w:val="0"/>
          <w:strike w:val="0"/>
          <w:u w:val="none"/>
        </w:rPr>
        <w:t>Dechezlepretre</w:t>
      </w:r>
      <w:r>
        <w:rPr>
          <w:b w:val="0"/>
          <w:i w:val="0"/>
          <w:smallCaps w:val="0"/>
          <w:strike w:val="0"/>
          <w:u w:val="none"/>
        </w:rPr>
        <w:t xml:space="preserve"> et al., 2020): </w:t>
      </w:r>
      <w:r>
        <w:rPr>
          <w:b w:val="0"/>
          <w:i w:val="0"/>
          <w:smallCaps w:val="0"/>
          <w:strike w:val="0"/>
          <w:sz w:val="22"/>
          <w:u w:val="single"/>
        </w:rPr>
        <w:t>climate-smart agriculture could help communities to adapt to droughts, floods, and increasing threats of pest infestation</w:t>
      </w:r>
      <w:r>
        <w:rPr>
          <w:b w:val="0"/>
          <w:i w:val="0"/>
          <w:smallCaps w:val="0"/>
          <w:strike w:val="0"/>
          <w:u w:val="none"/>
        </w:rPr>
        <w:t xml:space="preserve"> (</w:t>
      </w:r>
      <w:r>
        <w:rPr>
          <w:b w:val="0"/>
          <w:i w:val="0"/>
          <w:smallCaps w:val="0"/>
          <w:strike w:val="0"/>
          <w:u w:val="none"/>
        </w:rPr>
        <w:t xml:space="preserve">Kuhl, 2020, </w:t>
      </w:r>
      <w:r>
        <w:rPr>
          <w:b w:val="0"/>
          <w:i w:val="0"/>
          <w:smallCaps w:val="0"/>
          <w:strike w:val="0"/>
          <w:u w:val="none"/>
        </w:rPr>
        <w:t>Adenle</w:t>
      </w:r>
      <w:r>
        <w:rPr>
          <w:b w:val="0"/>
          <w:i w:val="0"/>
          <w:smallCaps w:val="0"/>
          <w:strike w:val="0"/>
          <w:u w:val="none"/>
        </w:rPr>
        <w:t xml:space="preserve"> et al., 2015); </w:t>
      </w:r>
      <w:r>
        <w:rPr>
          <w:b w:val="0"/>
          <w:i w:val="0"/>
          <w:smallCaps w:val="0"/>
          <w:strike w:val="0"/>
          <w:sz w:val="22"/>
          <w:u w:val="single"/>
        </w:rPr>
        <w:t>new types of hazard defense and weather prediction tools help protect infrastructure and human lives from storms, floods, and heatwaves</w:t>
      </w:r>
      <w:r>
        <w:rPr>
          <w:b w:val="0"/>
          <w:i w:val="0"/>
          <w:smallCaps w:val="0"/>
          <w:strike w:val="0"/>
          <w:u w:val="none"/>
        </w:rPr>
        <w:t xml:space="preserve"> (</w:t>
      </w:r>
      <w:r>
        <w:rPr>
          <w:b w:val="0"/>
          <w:i w:val="0"/>
          <w:smallCaps w:val="0"/>
          <w:strike w:val="0"/>
          <w:u w:val="none"/>
        </w:rPr>
        <w:t xml:space="preserve">UNFCCC, 2006); </w:t>
      </w:r>
      <w:r>
        <w:rPr>
          <w:b w:val="0"/>
          <w:i w:val="0"/>
          <w:smallCaps w:val="0"/>
          <w:strike w:val="0"/>
          <w:sz w:val="22"/>
          <w:u w:val="single"/>
        </w:rPr>
        <w:t>water conservation and catchment technologies help address water scarcity</w:t>
      </w:r>
      <w:r>
        <w:rPr>
          <w:b w:val="0"/>
          <w:i w:val="0"/>
          <w:smallCaps w:val="0"/>
          <w:strike w:val="0"/>
          <w:u w:val="none"/>
        </w:rPr>
        <w:t xml:space="preserve"> (</w:t>
      </w:r>
      <w:r>
        <w:rPr>
          <w:b w:val="0"/>
          <w:i w:val="0"/>
          <w:smallCaps w:val="0"/>
          <w:strike w:val="0"/>
          <w:u w:val="none"/>
        </w:rPr>
        <w:t xml:space="preserve">Conway et al., 2015); </w:t>
      </w:r>
      <w:r>
        <w:rPr>
          <w:b w:val="0"/>
          <w:i w:val="0"/>
          <w:smallCaps w:val="0"/>
          <w:strike w:val="0"/>
          <w:sz w:val="22"/>
          <w:u w:val="single"/>
        </w:rPr>
        <w:t>vaccines, new drugs, and preventive public health inventions strengthen people’s resistance against infectious diseases and heatwave-induced risks that become more prevalent under climate change</w:t>
      </w:r>
      <w:r>
        <w:rPr>
          <w:b w:val="0"/>
          <w:i w:val="0"/>
          <w:smallCaps w:val="0"/>
          <w:strike w:val="0"/>
          <w:u w:val="none"/>
        </w:rPr>
        <w:t xml:space="preserve"> (</w:t>
      </w:r>
      <w:r>
        <w:rPr>
          <w:b w:val="0"/>
          <w:i w:val="0"/>
          <w:smallCaps w:val="0"/>
          <w:strike w:val="0"/>
          <w:u w:val="none"/>
        </w:rPr>
        <w:t xml:space="preserve">Guo et al., 2018, </w:t>
      </w:r>
      <w:r>
        <w:rPr>
          <w:b w:val="0"/>
          <w:i w:val="0"/>
          <w:smallCaps w:val="0"/>
          <w:strike w:val="0"/>
          <w:u w:val="none"/>
        </w:rPr>
        <w:t>Caminade</w:t>
      </w:r>
      <w:r>
        <w:rPr>
          <w:b w:val="0"/>
          <w:i w:val="0"/>
          <w:smallCaps w:val="0"/>
          <w:strike w:val="0"/>
          <w:u w:val="none"/>
        </w:rPr>
        <w:t xml:space="preserve"> et al., 2019). Alongside nature-based solutions and behavioral changes, </w:t>
      </w:r>
      <w:r>
        <w:rPr>
          <w:b w:val="0"/>
          <w:i w:val="0"/>
          <w:smallCaps w:val="0"/>
          <w:strike w:val="0"/>
          <w:sz w:val="22"/>
          <w:u w:val="single"/>
        </w:rPr>
        <w:t>adaptation technologies are needed to cope with current and future climate risks</w:t>
      </w:r>
      <w:r>
        <w:rPr>
          <w:b w:val="0"/>
          <w:i w:val="0"/>
          <w:smallCaps w:val="0"/>
          <w:strike w:val="0"/>
          <w:u w:val="none"/>
        </w:rPr>
        <w:t xml:space="preserve"> (UNFCCC, 2006, </w:t>
      </w:r>
      <w:r>
        <w:rPr>
          <w:b w:val="0"/>
          <w:i w:val="0"/>
          <w:smallCaps w:val="0"/>
          <w:strike w:val="0"/>
          <w:u w:val="none"/>
        </w:rPr>
        <w:t>UNEP, 2021).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